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BF3E" w14:textId="77777777" w:rsidR="007A283A" w:rsidRPr="002B301F" w:rsidRDefault="007A283A" w:rsidP="007A283A">
      <w:pPr>
        <w:spacing w:line="240" w:lineRule="auto"/>
        <w:rPr>
          <w:b/>
          <w:color w:val="000000" w:themeColor="text1"/>
          <w:lang w:val="fr-FR"/>
        </w:rPr>
      </w:pPr>
    </w:p>
    <w:p w14:paraId="376887AA" w14:textId="77777777" w:rsidR="00BC2651" w:rsidRPr="002B301F" w:rsidRDefault="006432BA">
      <w:pPr>
        <w:spacing w:line="240" w:lineRule="auto"/>
        <w:jc w:val="right"/>
        <w:rPr>
          <w:color w:val="000000" w:themeColor="text1"/>
          <w:lang w:val="fr-FR"/>
        </w:rPr>
      </w:pPr>
      <w:r w:rsidRPr="002B301F">
        <w:rPr>
          <w:color w:val="000000" w:themeColor="text1"/>
          <w:lang w:val="fr-FR"/>
        </w:rPr>
        <w:t>MSI-</w:t>
      </w:r>
      <w:proofErr w:type="gramStart"/>
      <w:r w:rsidRPr="002B301F">
        <w:rPr>
          <w:color w:val="000000" w:themeColor="text1"/>
          <w:lang w:val="fr-FR"/>
        </w:rPr>
        <w:t>RES(</w:t>
      </w:r>
      <w:proofErr w:type="gramEnd"/>
      <w:r w:rsidRPr="002B301F">
        <w:rPr>
          <w:color w:val="000000" w:themeColor="text1"/>
          <w:lang w:val="fr-FR"/>
        </w:rPr>
        <w:t>2022)05-01</w:t>
      </w:r>
    </w:p>
    <w:p w14:paraId="40294BF1" w14:textId="77777777" w:rsidR="00BC2651" w:rsidRPr="002B301F" w:rsidRDefault="006432BA">
      <w:pPr>
        <w:spacing w:line="240" w:lineRule="auto"/>
        <w:jc w:val="right"/>
        <w:rPr>
          <w:color w:val="000000" w:themeColor="text1"/>
          <w:lang w:val="fr-FR"/>
        </w:rPr>
      </w:pPr>
      <w:r w:rsidRPr="002B301F">
        <w:rPr>
          <w:color w:val="000000" w:themeColor="text1"/>
          <w:lang w:val="fr-FR"/>
        </w:rPr>
        <w:t>16 juin 2022</w:t>
      </w:r>
    </w:p>
    <w:p w14:paraId="0B532576" w14:textId="77777777" w:rsidR="007A283A" w:rsidRPr="002B301F" w:rsidRDefault="007A283A" w:rsidP="007A283A">
      <w:pPr>
        <w:spacing w:line="240" w:lineRule="auto"/>
        <w:jc w:val="center"/>
        <w:rPr>
          <w:b/>
          <w:color w:val="000000" w:themeColor="text1"/>
          <w:lang w:val="fr-FR"/>
        </w:rPr>
      </w:pPr>
    </w:p>
    <w:p w14:paraId="0FD0C93B" w14:textId="77777777" w:rsidR="007A283A" w:rsidRPr="002B301F" w:rsidRDefault="007A283A" w:rsidP="007A283A">
      <w:pPr>
        <w:spacing w:line="240" w:lineRule="auto"/>
        <w:jc w:val="center"/>
        <w:rPr>
          <w:b/>
          <w:color w:val="000000" w:themeColor="text1"/>
          <w:lang w:val="fr-FR"/>
        </w:rPr>
      </w:pPr>
    </w:p>
    <w:p w14:paraId="57C49A19" w14:textId="77777777" w:rsidR="00BC2651" w:rsidRPr="002B301F" w:rsidRDefault="006432BA">
      <w:pPr>
        <w:spacing w:line="240" w:lineRule="auto"/>
        <w:jc w:val="center"/>
        <w:rPr>
          <w:b/>
          <w:color w:val="000000" w:themeColor="text1"/>
          <w:lang w:val="fr-FR"/>
        </w:rPr>
      </w:pPr>
      <w:r w:rsidRPr="002B301F">
        <w:rPr>
          <w:b/>
          <w:color w:val="000000" w:themeColor="text1"/>
          <w:lang w:val="fr-FR"/>
        </w:rPr>
        <w:t xml:space="preserve">Bonnes pratiques pour un financement durable des </w:t>
      </w:r>
      <w:proofErr w:type="gramStart"/>
      <w:r w:rsidRPr="002B301F">
        <w:rPr>
          <w:b/>
          <w:color w:val="000000" w:themeColor="text1"/>
          <w:lang w:val="fr-FR"/>
        </w:rPr>
        <w:t>médias d'information</w:t>
      </w:r>
      <w:proofErr w:type="gramEnd"/>
    </w:p>
    <w:p w14:paraId="2C589DBB" w14:textId="77777777" w:rsidR="00BC2651" w:rsidRPr="002B301F" w:rsidRDefault="006432BA">
      <w:pPr>
        <w:spacing w:line="240" w:lineRule="auto"/>
        <w:jc w:val="center"/>
        <w:rPr>
          <w:b/>
          <w:color w:val="000000" w:themeColor="text1"/>
          <w:lang w:val="fr-FR"/>
        </w:rPr>
      </w:pPr>
      <w:r w:rsidRPr="002B301F">
        <w:rPr>
          <w:b/>
          <w:color w:val="000000" w:themeColor="text1"/>
          <w:lang w:val="fr-FR"/>
        </w:rPr>
        <w:t>Plan du rapport</w:t>
      </w:r>
    </w:p>
    <w:p w14:paraId="5EA7D0F2" w14:textId="77777777" w:rsidR="007A283A" w:rsidRPr="002B301F" w:rsidRDefault="007A283A" w:rsidP="007A283A">
      <w:pPr>
        <w:spacing w:line="240" w:lineRule="auto"/>
        <w:rPr>
          <w:b/>
          <w:color w:val="000000" w:themeColor="text1"/>
          <w:lang w:val="fr-FR"/>
        </w:rPr>
      </w:pPr>
    </w:p>
    <w:p w14:paraId="6707AEBA" w14:textId="77777777" w:rsidR="007A283A" w:rsidRPr="002B301F" w:rsidRDefault="007A283A" w:rsidP="007A283A">
      <w:pPr>
        <w:spacing w:line="240" w:lineRule="auto"/>
        <w:rPr>
          <w:color w:val="000000" w:themeColor="text1"/>
          <w:lang w:val="fr-FR"/>
        </w:rPr>
      </w:pPr>
    </w:p>
    <w:p w14:paraId="2CC6F51B" w14:textId="0F22B446" w:rsidR="00BC2651" w:rsidRPr="002B301F" w:rsidRDefault="006432BA">
      <w:pPr>
        <w:spacing w:line="240" w:lineRule="auto"/>
        <w:rPr>
          <w:color w:val="000000" w:themeColor="text1"/>
          <w:lang w:val="fr-FR"/>
        </w:rPr>
      </w:pPr>
      <w:proofErr w:type="spellStart"/>
      <w:r w:rsidRPr="002B301F">
        <w:rPr>
          <w:color w:val="000000" w:themeColor="text1"/>
          <w:lang w:val="fr-FR"/>
        </w:rPr>
        <w:t>Elda</w:t>
      </w:r>
      <w:proofErr w:type="spellEnd"/>
      <w:r w:rsidRPr="002B301F">
        <w:rPr>
          <w:color w:val="000000" w:themeColor="text1"/>
          <w:lang w:val="fr-FR"/>
        </w:rPr>
        <w:t xml:space="preserve"> </w:t>
      </w:r>
      <w:proofErr w:type="spellStart"/>
      <w:r w:rsidRPr="002B301F">
        <w:rPr>
          <w:color w:val="000000" w:themeColor="text1"/>
          <w:lang w:val="fr-FR"/>
        </w:rPr>
        <w:t>Brogi</w:t>
      </w:r>
      <w:proofErr w:type="spellEnd"/>
      <w:r w:rsidRPr="002B301F">
        <w:rPr>
          <w:color w:val="000000" w:themeColor="text1"/>
          <w:lang w:val="fr-FR"/>
        </w:rPr>
        <w:t xml:space="preserve">, </w:t>
      </w:r>
      <w:proofErr w:type="spellStart"/>
      <w:r w:rsidR="00AE7B69" w:rsidRPr="002B301F">
        <w:rPr>
          <w:color w:val="000000" w:themeColor="text1"/>
          <w:lang w:val="fr-FR"/>
        </w:rPr>
        <w:t>European</w:t>
      </w:r>
      <w:proofErr w:type="spellEnd"/>
      <w:r w:rsidR="00AE7B69" w:rsidRPr="002B301F">
        <w:rPr>
          <w:color w:val="000000" w:themeColor="text1"/>
          <w:lang w:val="fr-FR"/>
        </w:rPr>
        <w:t xml:space="preserve"> </w:t>
      </w:r>
      <w:proofErr w:type="spellStart"/>
      <w:r w:rsidR="00AE7B69" w:rsidRPr="002B301F">
        <w:rPr>
          <w:color w:val="000000" w:themeColor="text1"/>
          <w:lang w:val="fr-FR"/>
        </w:rPr>
        <w:t>University</w:t>
      </w:r>
      <w:proofErr w:type="spellEnd"/>
      <w:r w:rsidR="00AE7B69" w:rsidRPr="002B301F">
        <w:rPr>
          <w:color w:val="000000" w:themeColor="text1"/>
          <w:lang w:val="fr-FR"/>
        </w:rPr>
        <w:t xml:space="preserve"> </w:t>
      </w:r>
      <w:r w:rsidR="0017026A" w:rsidRPr="002B301F">
        <w:rPr>
          <w:color w:val="000000" w:themeColor="text1"/>
          <w:lang w:val="fr-FR"/>
        </w:rPr>
        <w:t>Institute</w:t>
      </w:r>
    </w:p>
    <w:p w14:paraId="67B5D6FC" w14:textId="77777777" w:rsidR="00BC2651" w:rsidRPr="002B301F" w:rsidRDefault="006432BA">
      <w:pPr>
        <w:spacing w:line="240" w:lineRule="auto"/>
        <w:rPr>
          <w:color w:val="000000" w:themeColor="text1"/>
          <w:lang w:val="fr-FR"/>
        </w:rPr>
      </w:pPr>
      <w:proofErr w:type="spellStart"/>
      <w:r w:rsidRPr="002B301F">
        <w:rPr>
          <w:color w:val="000000" w:themeColor="text1"/>
          <w:lang w:val="fr-FR"/>
        </w:rPr>
        <w:t>Helle</w:t>
      </w:r>
      <w:proofErr w:type="spellEnd"/>
      <w:r w:rsidRPr="002B301F">
        <w:rPr>
          <w:color w:val="000000" w:themeColor="text1"/>
          <w:lang w:val="fr-FR"/>
        </w:rPr>
        <w:t xml:space="preserve"> </w:t>
      </w:r>
      <w:proofErr w:type="spellStart"/>
      <w:r w:rsidRPr="002B301F">
        <w:rPr>
          <w:color w:val="000000" w:themeColor="text1"/>
          <w:lang w:val="fr-FR"/>
        </w:rPr>
        <w:t>Sjøvaag</w:t>
      </w:r>
      <w:proofErr w:type="spellEnd"/>
      <w:r w:rsidRPr="002B301F">
        <w:rPr>
          <w:color w:val="000000" w:themeColor="text1"/>
          <w:lang w:val="fr-FR"/>
        </w:rPr>
        <w:t>, Université de Stavanger</w:t>
      </w:r>
    </w:p>
    <w:p w14:paraId="46057B01" w14:textId="77777777" w:rsidR="007A283A" w:rsidRPr="002B301F" w:rsidRDefault="007A283A" w:rsidP="007A283A">
      <w:pPr>
        <w:spacing w:line="240" w:lineRule="auto"/>
        <w:rPr>
          <w:b/>
          <w:color w:val="000000" w:themeColor="text1"/>
          <w:lang w:val="fr-FR"/>
        </w:rPr>
      </w:pPr>
    </w:p>
    <w:p w14:paraId="5B4CC00F" w14:textId="77777777" w:rsidR="007A283A" w:rsidRPr="002B301F" w:rsidRDefault="007A283A" w:rsidP="007A283A">
      <w:pPr>
        <w:spacing w:line="240" w:lineRule="auto"/>
        <w:rPr>
          <w:b/>
          <w:color w:val="000000" w:themeColor="text1"/>
          <w:lang w:val="fr-FR"/>
        </w:rPr>
      </w:pPr>
    </w:p>
    <w:p w14:paraId="2A70F277" w14:textId="61F9FB52" w:rsidR="00BC2651" w:rsidRPr="002B301F" w:rsidRDefault="006432BA">
      <w:pPr>
        <w:spacing w:line="240" w:lineRule="auto"/>
        <w:jc w:val="both"/>
        <w:rPr>
          <w:i/>
          <w:color w:val="000000" w:themeColor="text1"/>
          <w:lang w:val="fr-FR"/>
        </w:rPr>
      </w:pPr>
      <w:r w:rsidRPr="002B301F">
        <w:rPr>
          <w:b/>
          <w:i/>
          <w:color w:val="000000" w:themeColor="text1"/>
          <w:lang w:val="fr-FR"/>
        </w:rPr>
        <w:t xml:space="preserve">Objectif du rapport : </w:t>
      </w:r>
      <w:r w:rsidRPr="002B301F">
        <w:rPr>
          <w:i/>
          <w:color w:val="000000" w:themeColor="text1"/>
          <w:lang w:val="fr-FR"/>
        </w:rPr>
        <w:t xml:space="preserve">Le rapport rassemble les bonnes pratiques en matière de viabilité des médias au niveau national. L'analyse de certaines tendances dans les </w:t>
      </w:r>
      <w:r w:rsidR="00D05BB0" w:rsidRPr="002B301F">
        <w:rPr>
          <w:i/>
          <w:color w:val="000000" w:themeColor="text1"/>
          <w:lang w:val="fr-FR"/>
        </w:rPr>
        <w:t>États</w:t>
      </w:r>
      <w:r w:rsidRPr="002B301F">
        <w:rPr>
          <w:i/>
          <w:color w:val="000000" w:themeColor="text1"/>
          <w:lang w:val="fr-FR"/>
        </w:rPr>
        <w:t xml:space="preserve"> membres du Conseil de l'Europe peut aider à prévoir les scénarios futurs et à imaginer des politiques médiatiques aptes à assurer la durabilité et la pluralité des médias dans un paysage médiatique en mutation.</w:t>
      </w:r>
    </w:p>
    <w:p w14:paraId="4A12921A" w14:textId="77777777" w:rsidR="007A283A" w:rsidRPr="002B301F" w:rsidRDefault="007A283A" w:rsidP="007A283A">
      <w:pPr>
        <w:spacing w:line="240" w:lineRule="auto"/>
        <w:rPr>
          <w:b/>
          <w:color w:val="000000" w:themeColor="text1"/>
          <w:lang w:val="fr-FR"/>
        </w:rPr>
      </w:pPr>
    </w:p>
    <w:p w14:paraId="457BC53D" w14:textId="77777777" w:rsidR="00BC2651" w:rsidRPr="002B301F" w:rsidRDefault="006432BA">
      <w:pPr>
        <w:spacing w:line="240" w:lineRule="auto"/>
        <w:rPr>
          <w:b/>
          <w:color w:val="000000" w:themeColor="text1"/>
          <w:lang w:val="fr-FR"/>
        </w:rPr>
      </w:pPr>
      <w:r w:rsidRPr="002B301F">
        <w:rPr>
          <w:b/>
          <w:color w:val="000000" w:themeColor="text1"/>
          <w:lang w:val="fr-FR"/>
        </w:rPr>
        <w:t>Introduire le sujet</w:t>
      </w:r>
    </w:p>
    <w:p w14:paraId="384A8E2D" w14:textId="77777777" w:rsidR="007A283A" w:rsidRPr="002B301F" w:rsidRDefault="007A283A" w:rsidP="007A283A">
      <w:pPr>
        <w:spacing w:line="240" w:lineRule="auto"/>
        <w:rPr>
          <w:b/>
          <w:color w:val="000000" w:themeColor="text1"/>
          <w:lang w:val="fr-FR"/>
        </w:rPr>
      </w:pPr>
    </w:p>
    <w:p w14:paraId="1F3D2619" w14:textId="77777777" w:rsidR="00BC2651" w:rsidRPr="002B301F" w:rsidRDefault="006432BA">
      <w:pPr>
        <w:spacing w:line="240" w:lineRule="auto"/>
        <w:jc w:val="both"/>
        <w:rPr>
          <w:color w:val="000000" w:themeColor="text1"/>
          <w:lang w:val="fr-FR"/>
        </w:rPr>
      </w:pPr>
      <w:r w:rsidRPr="002B301F">
        <w:rPr>
          <w:color w:val="000000" w:themeColor="text1"/>
          <w:lang w:val="fr-FR"/>
        </w:rPr>
        <w:t>La durabilité des médias et des marchés des médias est strictement liée au pluralisme des médias (pluralisme externe) et, en fin de compte, à la démocratie.</w:t>
      </w:r>
    </w:p>
    <w:p w14:paraId="07EB4715" w14:textId="77777777" w:rsidR="007A283A" w:rsidRPr="002B301F" w:rsidRDefault="007A283A" w:rsidP="007A283A">
      <w:pPr>
        <w:spacing w:line="240" w:lineRule="auto"/>
        <w:jc w:val="both"/>
        <w:rPr>
          <w:color w:val="000000" w:themeColor="text1"/>
          <w:lang w:val="fr-FR"/>
        </w:rPr>
      </w:pPr>
    </w:p>
    <w:p w14:paraId="6812945E" w14:textId="77777777" w:rsidR="00BC2651" w:rsidRPr="002B301F" w:rsidRDefault="006432BA">
      <w:pPr>
        <w:spacing w:line="240" w:lineRule="auto"/>
        <w:jc w:val="both"/>
        <w:rPr>
          <w:color w:val="000000" w:themeColor="text1"/>
          <w:lang w:val="fr-FR"/>
        </w:rPr>
      </w:pPr>
      <w:r w:rsidRPr="002B301F">
        <w:rPr>
          <w:color w:val="000000" w:themeColor="text1"/>
          <w:lang w:val="fr-FR"/>
        </w:rPr>
        <w:t xml:space="preserve">Ces dernières années, nous avons assisté à un déclin constant de la durabilité des modèles économiques traditionnels de nombreux organismes de presse. Les causes de cette évolution sont multiples. La principale est le développement technologique qui a entraîné un changement rapide des comportements des consommateurs et des annonceurs. </w:t>
      </w:r>
    </w:p>
    <w:p w14:paraId="2BD2CCA4" w14:textId="77777777" w:rsidR="007A283A" w:rsidRPr="002B301F" w:rsidRDefault="007A283A" w:rsidP="007A283A">
      <w:pPr>
        <w:spacing w:line="240" w:lineRule="auto"/>
        <w:jc w:val="both"/>
        <w:rPr>
          <w:color w:val="000000" w:themeColor="text1"/>
          <w:lang w:val="fr-FR"/>
        </w:rPr>
      </w:pPr>
    </w:p>
    <w:p w14:paraId="51017808" w14:textId="585582C8" w:rsidR="00BC2651" w:rsidRPr="002B301F" w:rsidRDefault="006432BA">
      <w:pPr>
        <w:spacing w:line="240" w:lineRule="auto"/>
        <w:jc w:val="both"/>
        <w:rPr>
          <w:color w:val="000000" w:themeColor="text1"/>
          <w:lang w:val="fr-FR"/>
        </w:rPr>
      </w:pPr>
      <w:r w:rsidRPr="002B301F">
        <w:rPr>
          <w:color w:val="000000" w:themeColor="text1"/>
          <w:lang w:val="fr-FR"/>
        </w:rPr>
        <w:t xml:space="preserve">Plus récemment, cette tendance a été exacerbée par l'impact du COVID-19 sur les modèles économiques des </w:t>
      </w:r>
      <w:proofErr w:type="gramStart"/>
      <w:r w:rsidRPr="002B301F">
        <w:rPr>
          <w:color w:val="000000" w:themeColor="text1"/>
          <w:lang w:val="fr-FR"/>
        </w:rPr>
        <w:t>médias d'information</w:t>
      </w:r>
      <w:proofErr w:type="gramEnd"/>
      <w:r w:rsidRPr="002B301F">
        <w:rPr>
          <w:color w:val="000000" w:themeColor="text1"/>
          <w:lang w:val="fr-FR"/>
        </w:rPr>
        <w:t xml:space="preserve">. La pandémie a entraîné une augmentation de la demande et de l'offre d'informations, ainsi qu'un </w:t>
      </w:r>
      <w:r w:rsidR="00003262" w:rsidRPr="002B301F">
        <w:rPr>
          <w:color w:val="000000" w:themeColor="text1"/>
          <w:lang w:val="fr-FR"/>
        </w:rPr>
        <w:t>renforcement</w:t>
      </w:r>
      <w:r w:rsidRPr="002B301F">
        <w:rPr>
          <w:color w:val="000000" w:themeColor="text1"/>
          <w:lang w:val="fr-FR"/>
        </w:rPr>
        <w:t xml:space="preserve"> considérable de la numérisation, mais a réduit les ressources du marché pour les </w:t>
      </w:r>
      <w:proofErr w:type="gramStart"/>
      <w:r w:rsidRPr="002B301F">
        <w:rPr>
          <w:color w:val="000000" w:themeColor="text1"/>
          <w:lang w:val="fr-FR"/>
        </w:rPr>
        <w:t>médias d'information</w:t>
      </w:r>
      <w:proofErr w:type="gramEnd"/>
      <w:r w:rsidRPr="002B301F">
        <w:rPr>
          <w:color w:val="000000" w:themeColor="text1"/>
          <w:lang w:val="fr-FR"/>
        </w:rPr>
        <w:t xml:space="preserve"> (Media </w:t>
      </w:r>
      <w:proofErr w:type="spellStart"/>
      <w:r w:rsidRPr="002B301F">
        <w:rPr>
          <w:color w:val="000000" w:themeColor="text1"/>
          <w:lang w:val="fr-FR"/>
        </w:rPr>
        <w:t>Pluralism</w:t>
      </w:r>
      <w:proofErr w:type="spellEnd"/>
      <w:r w:rsidRPr="002B301F">
        <w:rPr>
          <w:color w:val="000000" w:themeColor="text1"/>
          <w:lang w:val="fr-FR"/>
        </w:rPr>
        <w:t xml:space="preserve"> Monitor, 2021). Les événements sans précédent de 2020 ont remis en question la durabilité même de l'industrie des </w:t>
      </w:r>
      <w:proofErr w:type="gramStart"/>
      <w:r w:rsidRPr="002B301F">
        <w:rPr>
          <w:color w:val="000000" w:themeColor="text1"/>
          <w:lang w:val="fr-FR"/>
        </w:rPr>
        <w:t>médias d'information</w:t>
      </w:r>
      <w:proofErr w:type="gramEnd"/>
      <w:r w:rsidRPr="002B301F">
        <w:rPr>
          <w:color w:val="000000" w:themeColor="text1"/>
          <w:lang w:val="fr-FR"/>
        </w:rPr>
        <w:t xml:space="preserve">, s'ajoutant à une tendance au déclin préexistante de l'économie des médias d'information traditionnels dans l'environnement numérique (Media </w:t>
      </w:r>
      <w:proofErr w:type="spellStart"/>
      <w:r w:rsidRPr="002B301F">
        <w:rPr>
          <w:color w:val="000000" w:themeColor="text1"/>
          <w:lang w:val="fr-FR"/>
        </w:rPr>
        <w:t>Pluralism</w:t>
      </w:r>
      <w:proofErr w:type="spellEnd"/>
      <w:r w:rsidRPr="002B301F">
        <w:rPr>
          <w:color w:val="000000" w:themeColor="text1"/>
          <w:lang w:val="fr-FR"/>
        </w:rPr>
        <w:t xml:space="preserve"> Monitor, 2021).</w:t>
      </w:r>
    </w:p>
    <w:p w14:paraId="4066BD8C" w14:textId="77777777" w:rsidR="007A283A" w:rsidRPr="002B301F" w:rsidRDefault="007A283A" w:rsidP="007A283A">
      <w:pPr>
        <w:spacing w:line="240" w:lineRule="auto"/>
        <w:jc w:val="both"/>
        <w:rPr>
          <w:color w:val="000000" w:themeColor="text1"/>
          <w:lang w:val="fr-FR"/>
        </w:rPr>
      </w:pPr>
    </w:p>
    <w:p w14:paraId="40827A41" w14:textId="77777777" w:rsidR="00BC2651" w:rsidRPr="002B301F" w:rsidRDefault="006432BA">
      <w:pPr>
        <w:spacing w:line="240" w:lineRule="auto"/>
        <w:jc w:val="both"/>
        <w:rPr>
          <w:color w:val="000000" w:themeColor="text1"/>
          <w:lang w:val="fr-FR"/>
        </w:rPr>
      </w:pPr>
      <w:r w:rsidRPr="002B301F">
        <w:rPr>
          <w:lang w:val="fr-FR"/>
        </w:rPr>
        <w:t xml:space="preserve">La récession démocratique, la crise économique avec l'augmentation des coûts du papier et de l'énergie, et la prolifération de la désinformation ont également exercé une pression sur les médias, avec des conséquences considérables sur le journalisme en tant que pratique et produit. </w:t>
      </w:r>
    </w:p>
    <w:p w14:paraId="6898D3A5" w14:textId="77777777" w:rsidR="007A283A" w:rsidRPr="002B301F" w:rsidRDefault="007A283A" w:rsidP="007A283A">
      <w:pPr>
        <w:rPr>
          <w:color w:val="000000" w:themeColor="text1"/>
          <w:lang w:val="fr-FR"/>
        </w:rPr>
      </w:pPr>
      <w:r w:rsidRPr="002B301F">
        <w:rPr>
          <w:color w:val="000000" w:themeColor="text1"/>
          <w:lang w:val="fr-FR"/>
        </w:rPr>
        <w:br w:type="page"/>
      </w:r>
    </w:p>
    <w:p w14:paraId="49FC5E72" w14:textId="77777777" w:rsidR="00BC2651" w:rsidRPr="002B301F" w:rsidRDefault="006432BA">
      <w:pPr>
        <w:spacing w:line="240" w:lineRule="auto"/>
        <w:jc w:val="both"/>
        <w:rPr>
          <w:b/>
          <w:color w:val="000000" w:themeColor="text1"/>
          <w:lang w:val="fr-FR"/>
        </w:rPr>
      </w:pPr>
      <w:r w:rsidRPr="002B301F">
        <w:rPr>
          <w:b/>
          <w:color w:val="000000" w:themeColor="text1"/>
          <w:lang w:val="fr-FR"/>
        </w:rPr>
        <w:lastRenderedPageBreak/>
        <w:t>Tableau 1 Journaux (évolution des revenus - tendance mondiale)</w:t>
      </w:r>
    </w:p>
    <w:p w14:paraId="71C01EC4" w14:textId="77777777" w:rsidR="007A283A" w:rsidRPr="002B301F" w:rsidRDefault="007A283A" w:rsidP="007A283A">
      <w:pPr>
        <w:spacing w:line="240" w:lineRule="auto"/>
        <w:jc w:val="both"/>
        <w:rPr>
          <w:color w:val="000000" w:themeColor="text1"/>
          <w:lang w:val="fr-FR"/>
        </w:rPr>
      </w:pPr>
    </w:p>
    <w:p w14:paraId="72693FDC" w14:textId="77777777" w:rsidR="007A283A" w:rsidRPr="002B301F" w:rsidRDefault="007A283A" w:rsidP="007A283A">
      <w:pPr>
        <w:spacing w:line="240" w:lineRule="auto"/>
        <w:jc w:val="both"/>
        <w:rPr>
          <w:color w:val="000000" w:themeColor="text1"/>
          <w:lang w:val="fr-FR"/>
        </w:rPr>
      </w:pPr>
      <w:r w:rsidRPr="002B301F">
        <w:rPr>
          <w:noProof/>
          <w:color w:val="000000" w:themeColor="text1"/>
          <w:lang w:val="fr-FR" w:eastAsia="en-US"/>
        </w:rPr>
        <w:drawing>
          <wp:inline distT="114300" distB="114300" distL="114300" distR="114300" wp14:anchorId="50706ACE" wp14:editId="03BE4C96">
            <wp:extent cx="5731200" cy="3657600"/>
            <wp:effectExtent l="0" t="0" r="0" b="0"/>
            <wp:docPr id="1"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Chart, bar chart&#10;&#10;Description automatically generated"/>
                    <pic:cNvPicPr preferRelativeResize="0"/>
                  </pic:nvPicPr>
                  <pic:blipFill>
                    <a:blip r:embed="rId8"/>
                    <a:srcRect/>
                    <a:stretch>
                      <a:fillRect/>
                    </a:stretch>
                  </pic:blipFill>
                  <pic:spPr>
                    <a:xfrm>
                      <a:off x="0" y="0"/>
                      <a:ext cx="5731200" cy="3657600"/>
                    </a:xfrm>
                    <a:prstGeom prst="rect">
                      <a:avLst/>
                    </a:prstGeom>
                    <a:ln/>
                  </pic:spPr>
                </pic:pic>
              </a:graphicData>
            </a:graphic>
          </wp:inline>
        </w:drawing>
      </w:r>
    </w:p>
    <w:p w14:paraId="4AC3C219" w14:textId="77777777" w:rsidR="007A283A" w:rsidRPr="002B301F" w:rsidRDefault="007A283A" w:rsidP="007A283A">
      <w:pPr>
        <w:spacing w:line="240" w:lineRule="auto"/>
        <w:jc w:val="both"/>
        <w:rPr>
          <w:color w:val="000000" w:themeColor="text1"/>
          <w:lang w:val="fr-FR"/>
        </w:rPr>
      </w:pPr>
    </w:p>
    <w:p w14:paraId="52FA1791" w14:textId="77777777" w:rsidR="007A283A" w:rsidRPr="002B301F" w:rsidRDefault="007A283A" w:rsidP="007A283A">
      <w:pPr>
        <w:spacing w:line="240" w:lineRule="auto"/>
        <w:rPr>
          <w:b/>
          <w:color w:val="000000" w:themeColor="text1"/>
          <w:lang w:val="fr-FR"/>
        </w:rPr>
      </w:pPr>
    </w:p>
    <w:p w14:paraId="5F66F163" w14:textId="77777777" w:rsidR="00BC2651" w:rsidRPr="002B301F" w:rsidRDefault="006432BA">
      <w:pPr>
        <w:spacing w:line="240" w:lineRule="auto"/>
        <w:jc w:val="both"/>
        <w:rPr>
          <w:b/>
          <w:color w:val="000000" w:themeColor="text1"/>
          <w:lang w:val="fr-FR"/>
        </w:rPr>
      </w:pPr>
      <w:r w:rsidRPr="002B301F">
        <w:rPr>
          <w:b/>
          <w:color w:val="000000" w:themeColor="text1"/>
          <w:lang w:val="fr-FR"/>
        </w:rPr>
        <w:t>Qu'est-ce que la durabilité</w:t>
      </w:r>
      <w:r w:rsidRPr="002B301F">
        <w:rPr>
          <w:b/>
          <w:color w:val="000000" w:themeColor="text1"/>
          <w:vertAlign w:val="superscript"/>
          <w:lang w:val="fr-FR"/>
        </w:rPr>
        <w:footnoteReference w:id="1"/>
      </w:r>
      <w:r w:rsidRPr="002B301F">
        <w:rPr>
          <w:b/>
          <w:color w:val="000000" w:themeColor="text1"/>
          <w:lang w:val="fr-FR"/>
        </w:rPr>
        <w:t xml:space="preserve"> ?</w:t>
      </w:r>
    </w:p>
    <w:p w14:paraId="0B474965" w14:textId="77777777" w:rsidR="007A283A" w:rsidRPr="002B301F" w:rsidRDefault="007A283A" w:rsidP="007A283A">
      <w:pPr>
        <w:spacing w:line="240" w:lineRule="auto"/>
        <w:jc w:val="both"/>
        <w:rPr>
          <w:color w:val="000000" w:themeColor="text1"/>
          <w:lang w:val="fr-FR"/>
        </w:rPr>
      </w:pPr>
    </w:p>
    <w:p w14:paraId="48D766C8" w14:textId="77777777" w:rsidR="00BC2651" w:rsidRPr="002B301F" w:rsidRDefault="006432BA">
      <w:pPr>
        <w:spacing w:line="240" w:lineRule="auto"/>
        <w:jc w:val="both"/>
        <w:rPr>
          <w:color w:val="000000" w:themeColor="text1"/>
          <w:lang w:val="fr-FR"/>
        </w:rPr>
      </w:pPr>
      <w:r w:rsidRPr="002B301F">
        <w:rPr>
          <w:color w:val="000000" w:themeColor="text1"/>
          <w:lang w:val="fr-FR"/>
        </w:rPr>
        <w:t xml:space="preserve">Le concept de durabilité est lié à la santé du marché des médias. La concurrence loyale, la disponibilité des ressources financières et les opportunités de croissance peuvent servir de substituts à la durabilité. Cependant, dans un contexte de pluralité des médias, la compréhension de la durabilité ne se limite pas à l'existence des médias dans le temps. Pour parvenir à un pluralisme externe, pour lequel une diversité de propriétaires et de types de médias est nécessaire sur un marché donné, la survie durable de plusieurs entreprises ou fournisseurs de médias est nécessaire, mais pas suffisante. Ces aspects du pluralisme des médias dépendent également de l'ampleur, de la variété et de la qualité du contenu produit et accessible aux citoyens. La durabilité doit donc être entendue comme la capacité de financer un modèle économique médiatique à long terme, et la capacité du système médiatique à continuer à fournir une échelle et une variété suffisantes de contenus de qualité, en particulier de nouvelles et de contenus informatifs, et d'espaces de communication (plus d'explications sur ce concept disponibles dans </w:t>
      </w:r>
      <w:proofErr w:type="spellStart"/>
      <w:r w:rsidRPr="002B301F">
        <w:rPr>
          <w:color w:val="000000" w:themeColor="text1"/>
          <w:lang w:val="fr-FR"/>
        </w:rPr>
        <w:t>Study</w:t>
      </w:r>
      <w:proofErr w:type="spellEnd"/>
      <w:r w:rsidRPr="002B301F">
        <w:rPr>
          <w:color w:val="000000" w:themeColor="text1"/>
          <w:lang w:val="fr-FR"/>
        </w:rPr>
        <w:t xml:space="preserve"> on media </w:t>
      </w:r>
      <w:proofErr w:type="spellStart"/>
      <w:r w:rsidRPr="002B301F">
        <w:rPr>
          <w:color w:val="000000" w:themeColor="text1"/>
          <w:lang w:val="fr-FR"/>
        </w:rPr>
        <w:t>plurality</w:t>
      </w:r>
      <w:proofErr w:type="spellEnd"/>
      <w:r w:rsidRPr="002B301F">
        <w:rPr>
          <w:color w:val="000000" w:themeColor="text1"/>
          <w:lang w:val="fr-FR"/>
        </w:rPr>
        <w:t xml:space="preserve"> and </w:t>
      </w:r>
      <w:proofErr w:type="spellStart"/>
      <w:r w:rsidRPr="002B301F">
        <w:rPr>
          <w:color w:val="000000" w:themeColor="text1"/>
          <w:lang w:val="fr-FR"/>
        </w:rPr>
        <w:t>diversity</w:t>
      </w:r>
      <w:proofErr w:type="spellEnd"/>
      <w:r w:rsidRPr="002B301F">
        <w:rPr>
          <w:color w:val="000000" w:themeColor="text1"/>
          <w:lang w:val="fr-FR"/>
        </w:rPr>
        <w:t xml:space="preserve"> online, CMPF/EUI et al., à paraître). La durabilité est également liée à la durabilité du journalisme et de la profession de journaliste, ainsi qu'à la compréhension par le public de la valeur sociale et démocratique des informations et de l'importance du financement de la production d'informations.</w:t>
      </w:r>
    </w:p>
    <w:p w14:paraId="0A8EDE40" w14:textId="77777777" w:rsidR="007A283A" w:rsidRPr="002B301F" w:rsidRDefault="007A283A" w:rsidP="007A283A">
      <w:pPr>
        <w:spacing w:line="240" w:lineRule="auto"/>
        <w:jc w:val="both"/>
        <w:rPr>
          <w:color w:val="000000" w:themeColor="text1"/>
          <w:lang w:val="fr-FR"/>
        </w:rPr>
      </w:pPr>
    </w:p>
    <w:p w14:paraId="25F0FDB1" w14:textId="77777777" w:rsidR="007A283A" w:rsidRPr="002B301F" w:rsidRDefault="007A283A" w:rsidP="007A283A">
      <w:pPr>
        <w:spacing w:line="240" w:lineRule="auto"/>
        <w:jc w:val="both"/>
        <w:rPr>
          <w:color w:val="000000" w:themeColor="text1"/>
          <w:lang w:val="fr-FR"/>
        </w:rPr>
      </w:pPr>
    </w:p>
    <w:p w14:paraId="29412ADF" w14:textId="77777777" w:rsidR="00BC2651" w:rsidRPr="002B301F" w:rsidRDefault="006432BA">
      <w:pPr>
        <w:spacing w:line="240" w:lineRule="auto"/>
        <w:jc w:val="both"/>
        <w:rPr>
          <w:b/>
          <w:color w:val="000000" w:themeColor="text1"/>
          <w:lang w:val="fr-FR"/>
        </w:rPr>
      </w:pPr>
      <w:r w:rsidRPr="002B301F">
        <w:rPr>
          <w:b/>
          <w:color w:val="000000" w:themeColor="text1"/>
          <w:lang w:val="fr-FR"/>
        </w:rPr>
        <w:t>Qu'est-ce qu'un modèle d'entreprise durable ?</w:t>
      </w:r>
    </w:p>
    <w:p w14:paraId="44166FFF" w14:textId="77777777" w:rsidR="007A283A" w:rsidRPr="002B301F" w:rsidRDefault="007A283A" w:rsidP="007A283A">
      <w:pPr>
        <w:spacing w:line="240" w:lineRule="auto"/>
        <w:jc w:val="both"/>
        <w:rPr>
          <w:color w:val="000000" w:themeColor="text1"/>
          <w:lang w:val="fr-FR"/>
        </w:rPr>
      </w:pPr>
    </w:p>
    <w:p w14:paraId="2BD37250" w14:textId="77777777" w:rsidR="00BC2651" w:rsidRPr="002B301F" w:rsidRDefault="006432BA">
      <w:pPr>
        <w:spacing w:line="240" w:lineRule="auto"/>
        <w:jc w:val="both"/>
        <w:rPr>
          <w:color w:val="000000" w:themeColor="text1"/>
          <w:lang w:val="fr-FR"/>
        </w:rPr>
      </w:pPr>
      <w:r w:rsidRPr="002B301F">
        <w:rPr>
          <w:color w:val="000000" w:themeColor="text1"/>
          <w:lang w:val="fr-FR"/>
        </w:rPr>
        <w:t>Un modèle d'entreprise durable est celui qui s'appuie sur diverses formes de financement (</w:t>
      </w:r>
      <w:proofErr w:type="spellStart"/>
      <w:r w:rsidRPr="002B301F">
        <w:rPr>
          <w:color w:val="000000" w:themeColor="text1"/>
          <w:lang w:val="fr-FR"/>
        </w:rPr>
        <w:t>Study</w:t>
      </w:r>
      <w:proofErr w:type="spellEnd"/>
      <w:r w:rsidRPr="002B301F">
        <w:rPr>
          <w:color w:val="000000" w:themeColor="text1"/>
          <w:lang w:val="fr-FR"/>
        </w:rPr>
        <w:t>, à paraître), notamment :</w:t>
      </w:r>
    </w:p>
    <w:p w14:paraId="69D53762" w14:textId="77777777" w:rsidR="007A283A" w:rsidRPr="002B301F" w:rsidRDefault="007A283A" w:rsidP="007A283A">
      <w:pPr>
        <w:spacing w:line="240" w:lineRule="auto"/>
        <w:jc w:val="both"/>
        <w:rPr>
          <w:b/>
          <w:color w:val="000000" w:themeColor="text1"/>
          <w:lang w:val="fr-FR"/>
        </w:rPr>
      </w:pPr>
    </w:p>
    <w:p w14:paraId="33BAA004" w14:textId="77777777" w:rsidR="00BC2651" w:rsidRPr="002B301F" w:rsidRDefault="006432BA">
      <w:pPr>
        <w:numPr>
          <w:ilvl w:val="0"/>
          <w:numId w:val="7"/>
        </w:numPr>
        <w:spacing w:line="240" w:lineRule="auto"/>
        <w:jc w:val="both"/>
        <w:rPr>
          <w:color w:val="000000" w:themeColor="text1"/>
          <w:lang w:val="fr-FR"/>
        </w:rPr>
      </w:pPr>
      <w:r w:rsidRPr="002B301F">
        <w:rPr>
          <w:b/>
          <w:color w:val="000000" w:themeColor="text1"/>
          <w:lang w:val="fr-FR"/>
        </w:rPr>
        <w:lastRenderedPageBreak/>
        <w:t>Revenus par le biais du paiement à la séance/lecture ou par des systèmes d'abonnement ou d'adhésion.</w:t>
      </w:r>
    </w:p>
    <w:p w14:paraId="19998522" w14:textId="77777777" w:rsidR="00BC2651" w:rsidRPr="002B301F" w:rsidRDefault="006432BA">
      <w:pPr>
        <w:numPr>
          <w:ilvl w:val="0"/>
          <w:numId w:val="7"/>
        </w:numPr>
        <w:spacing w:line="240" w:lineRule="auto"/>
        <w:jc w:val="both"/>
        <w:rPr>
          <w:b/>
          <w:color w:val="000000" w:themeColor="text1"/>
          <w:lang w:val="fr-FR"/>
        </w:rPr>
      </w:pPr>
      <w:r w:rsidRPr="002B301F">
        <w:rPr>
          <w:b/>
          <w:color w:val="000000" w:themeColor="text1"/>
          <w:lang w:val="fr-FR"/>
        </w:rPr>
        <w:t>Crowdfunding</w:t>
      </w:r>
    </w:p>
    <w:p w14:paraId="31952E5D" w14:textId="77777777" w:rsidR="00BC2651" w:rsidRPr="002B301F" w:rsidRDefault="006432BA">
      <w:pPr>
        <w:numPr>
          <w:ilvl w:val="0"/>
          <w:numId w:val="7"/>
        </w:numPr>
        <w:spacing w:line="240" w:lineRule="auto"/>
        <w:jc w:val="both"/>
        <w:rPr>
          <w:b/>
          <w:color w:val="000000" w:themeColor="text1"/>
          <w:lang w:val="fr-FR"/>
        </w:rPr>
      </w:pPr>
      <w:r w:rsidRPr="002B301F">
        <w:rPr>
          <w:b/>
          <w:color w:val="000000" w:themeColor="text1"/>
          <w:lang w:val="fr-FR"/>
        </w:rPr>
        <w:t>Dons et subventions</w:t>
      </w:r>
    </w:p>
    <w:p w14:paraId="4320646D" w14:textId="77777777" w:rsidR="00BC2651" w:rsidRPr="002B301F" w:rsidRDefault="006432BA">
      <w:pPr>
        <w:numPr>
          <w:ilvl w:val="0"/>
          <w:numId w:val="7"/>
        </w:numPr>
        <w:spacing w:line="240" w:lineRule="auto"/>
        <w:jc w:val="both"/>
        <w:rPr>
          <w:b/>
          <w:color w:val="000000" w:themeColor="text1"/>
          <w:lang w:val="fr-FR"/>
        </w:rPr>
      </w:pPr>
      <w:r w:rsidRPr="002B301F">
        <w:rPr>
          <w:b/>
          <w:color w:val="000000" w:themeColor="text1"/>
          <w:lang w:val="fr-FR"/>
        </w:rPr>
        <w:t>Soutien de l'État</w:t>
      </w:r>
    </w:p>
    <w:p w14:paraId="4CB97DBE" w14:textId="77777777" w:rsidR="00BC2651" w:rsidRPr="002B301F" w:rsidRDefault="006432BA">
      <w:pPr>
        <w:spacing w:line="240" w:lineRule="auto"/>
        <w:ind w:left="720"/>
        <w:jc w:val="both"/>
        <w:rPr>
          <w:b/>
          <w:color w:val="000000" w:themeColor="text1"/>
          <w:lang w:val="fr-FR"/>
        </w:rPr>
      </w:pPr>
      <w:r w:rsidRPr="002B301F">
        <w:rPr>
          <w:b/>
          <w:color w:val="000000" w:themeColor="text1"/>
          <w:lang w:val="fr-FR"/>
        </w:rPr>
        <w:t>4.1) Aide publique directe</w:t>
      </w:r>
    </w:p>
    <w:p w14:paraId="0319BB31" w14:textId="77777777" w:rsidR="00BC2651" w:rsidRPr="002B301F" w:rsidRDefault="006432BA">
      <w:pPr>
        <w:spacing w:line="240" w:lineRule="auto"/>
        <w:ind w:left="720"/>
        <w:jc w:val="both"/>
        <w:rPr>
          <w:b/>
          <w:color w:val="000000" w:themeColor="text1"/>
          <w:lang w:val="fr-FR"/>
        </w:rPr>
      </w:pPr>
      <w:r w:rsidRPr="002B301F">
        <w:rPr>
          <w:b/>
          <w:color w:val="000000" w:themeColor="text1"/>
          <w:lang w:val="fr-FR"/>
        </w:rPr>
        <w:t>4.2) Soutien indirect de l'État, y compris les régimes fiscaux favorables</w:t>
      </w:r>
    </w:p>
    <w:p w14:paraId="0D2F0020" w14:textId="77777777" w:rsidR="00BC2651" w:rsidRPr="002B301F" w:rsidRDefault="006432BA">
      <w:pPr>
        <w:numPr>
          <w:ilvl w:val="0"/>
          <w:numId w:val="7"/>
        </w:numPr>
        <w:spacing w:line="240" w:lineRule="auto"/>
        <w:jc w:val="both"/>
        <w:rPr>
          <w:b/>
          <w:color w:val="000000" w:themeColor="text1"/>
          <w:lang w:val="fr-FR"/>
        </w:rPr>
      </w:pPr>
      <w:r w:rsidRPr="002B301F">
        <w:rPr>
          <w:b/>
          <w:color w:val="000000" w:themeColor="text1"/>
          <w:lang w:val="fr-FR"/>
        </w:rPr>
        <w:t>Redistribution des revenus du droit d'auteur (droit de l'éditeur, directive européenne sur le droit d'auteur)</w:t>
      </w:r>
    </w:p>
    <w:p w14:paraId="5F247D61" w14:textId="77777777" w:rsidR="00BC2651" w:rsidRPr="002B301F" w:rsidRDefault="006432BA">
      <w:pPr>
        <w:numPr>
          <w:ilvl w:val="0"/>
          <w:numId w:val="7"/>
        </w:numPr>
        <w:spacing w:line="240" w:lineRule="auto"/>
        <w:jc w:val="both"/>
        <w:rPr>
          <w:b/>
          <w:color w:val="000000" w:themeColor="text1"/>
          <w:lang w:val="fr-FR"/>
        </w:rPr>
      </w:pPr>
      <w:r w:rsidRPr="002B301F">
        <w:rPr>
          <w:b/>
          <w:color w:val="000000" w:themeColor="text1"/>
          <w:lang w:val="fr-FR"/>
        </w:rPr>
        <w:t>Recettes publicitaires</w:t>
      </w:r>
    </w:p>
    <w:p w14:paraId="15EAD417" w14:textId="77777777" w:rsidR="00BC2651" w:rsidRPr="002B301F" w:rsidRDefault="006432BA">
      <w:pPr>
        <w:numPr>
          <w:ilvl w:val="0"/>
          <w:numId w:val="7"/>
        </w:numPr>
        <w:spacing w:line="240" w:lineRule="auto"/>
        <w:jc w:val="both"/>
        <w:rPr>
          <w:b/>
          <w:color w:val="000000" w:themeColor="text1"/>
          <w:lang w:val="fr-FR"/>
        </w:rPr>
      </w:pPr>
      <w:r w:rsidRPr="002B301F">
        <w:rPr>
          <w:b/>
          <w:color w:val="000000" w:themeColor="text1"/>
          <w:lang w:val="fr-FR"/>
        </w:rPr>
        <w:t>Diversification des sources de revenus</w:t>
      </w:r>
    </w:p>
    <w:p w14:paraId="6CD72316" w14:textId="77777777" w:rsidR="007A283A" w:rsidRPr="002B301F" w:rsidRDefault="007A283A" w:rsidP="007A283A">
      <w:pPr>
        <w:spacing w:line="240" w:lineRule="auto"/>
        <w:jc w:val="both"/>
        <w:rPr>
          <w:color w:val="000000" w:themeColor="text1"/>
          <w:lang w:val="fr-FR"/>
        </w:rPr>
      </w:pPr>
    </w:p>
    <w:p w14:paraId="1469EDB1" w14:textId="77777777" w:rsidR="00BC2651" w:rsidRPr="002B301F" w:rsidRDefault="006432BA">
      <w:pPr>
        <w:spacing w:line="240" w:lineRule="auto"/>
        <w:jc w:val="both"/>
        <w:rPr>
          <w:color w:val="000000" w:themeColor="text1"/>
          <w:lang w:val="fr-FR"/>
        </w:rPr>
      </w:pPr>
      <w:r w:rsidRPr="002B301F">
        <w:rPr>
          <w:color w:val="000000" w:themeColor="text1"/>
          <w:lang w:val="fr-FR"/>
        </w:rPr>
        <w:t>Un modèle économique durable repose également sur l'</w:t>
      </w:r>
      <w:r w:rsidRPr="002B301F">
        <w:rPr>
          <w:b/>
          <w:color w:val="000000" w:themeColor="text1"/>
          <w:lang w:val="fr-FR"/>
        </w:rPr>
        <w:t>utilisation des données des consommateurs dans la publicité</w:t>
      </w:r>
      <w:r w:rsidRPr="002B301F">
        <w:rPr>
          <w:color w:val="000000" w:themeColor="text1"/>
          <w:lang w:val="fr-FR"/>
        </w:rPr>
        <w:t>.</w:t>
      </w:r>
    </w:p>
    <w:p w14:paraId="3ED06BF4" w14:textId="77777777" w:rsidR="007A283A" w:rsidRPr="002B301F" w:rsidRDefault="007A283A" w:rsidP="007A283A">
      <w:pPr>
        <w:spacing w:line="240" w:lineRule="auto"/>
        <w:jc w:val="both"/>
        <w:rPr>
          <w:color w:val="000000" w:themeColor="text1"/>
          <w:lang w:val="fr-FR"/>
        </w:rPr>
      </w:pPr>
    </w:p>
    <w:p w14:paraId="5CCA4283" w14:textId="77777777" w:rsidR="00BC2651" w:rsidRPr="002B301F" w:rsidRDefault="006432BA">
      <w:pPr>
        <w:spacing w:line="240" w:lineRule="auto"/>
        <w:jc w:val="both"/>
        <w:rPr>
          <w:color w:val="000000" w:themeColor="text1"/>
          <w:lang w:val="fr-FR"/>
        </w:rPr>
      </w:pPr>
      <w:r w:rsidRPr="002B301F">
        <w:rPr>
          <w:color w:val="000000" w:themeColor="text1"/>
          <w:lang w:val="fr-FR"/>
        </w:rPr>
        <w:t xml:space="preserve">Quelques exemples de bonnes pratiques : </w:t>
      </w:r>
    </w:p>
    <w:p w14:paraId="56667162" w14:textId="77777777" w:rsidR="007A283A" w:rsidRPr="002B301F" w:rsidRDefault="007A283A" w:rsidP="007A283A">
      <w:pPr>
        <w:spacing w:line="240" w:lineRule="auto"/>
        <w:jc w:val="both"/>
        <w:rPr>
          <w:color w:val="000000" w:themeColor="text1"/>
          <w:lang w:val="fr-FR"/>
        </w:rPr>
      </w:pPr>
    </w:p>
    <w:p w14:paraId="3318959E" w14:textId="76029727" w:rsidR="00BC2651" w:rsidRPr="002B301F" w:rsidRDefault="006432BA">
      <w:pPr>
        <w:spacing w:line="240" w:lineRule="auto"/>
        <w:jc w:val="both"/>
        <w:rPr>
          <w:color w:val="000000" w:themeColor="text1"/>
          <w:lang w:val="fr-FR"/>
        </w:rPr>
      </w:pPr>
      <w:r w:rsidRPr="002B301F">
        <w:rPr>
          <w:b/>
          <w:color w:val="000000" w:themeColor="text1"/>
          <w:lang w:val="fr-FR"/>
        </w:rPr>
        <w:t xml:space="preserve">Systèmes d'abonnement et d'adhésion </w:t>
      </w:r>
      <w:r w:rsidRPr="002B301F">
        <w:rPr>
          <w:color w:val="000000" w:themeColor="text1"/>
          <w:lang w:val="fr-FR"/>
        </w:rPr>
        <w:t>: Mediapart en France et le Guardian au Royaume-Uni ont réussi à générer des revenus de cette manière. Cela est dû au haut niveau de transparence dont ils disposent sur leurs structures de propriété et leurs revenus, ce qui facilite également la responsabilisation vis-à-vis des utilisateurs. Toutefois, leur expérience indique également</w:t>
      </w:r>
      <w:r w:rsidR="004B356B" w:rsidRPr="002B301F">
        <w:rPr>
          <w:color w:val="000000" w:themeColor="text1"/>
          <w:lang w:val="fr-FR"/>
        </w:rPr>
        <w:t xml:space="preserve"> </w:t>
      </w:r>
      <w:r w:rsidR="004B356B" w:rsidRPr="002B301F">
        <w:rPr>
          <w:color w:val="000000" w:themeColor="text1"/>
          <w:lang w:val="fr-FR"/>
        </w:rPr>
        <w:t>qu'une échelle peut être nécessaire.</w:t>
      </w:r>
    </w:p>
    <w:p w14:paraId="5130A025" w14:textId="77777777" w:rsidR="007A283A" w:rsidRPr="002B301F" w:rsidRDefault="007A283A" w:rsidP="007A283A">
      <w:pPr>
        <w:spacing w:line="240" w:lineRule="auto"/>
        <w:jc w:val="both"/>
        <w:rPr>
          <w:color w:val="000000" w:themeColor="text1"/>
          <w:lang w:val="fr-FR"/>
        </w:rPr>
      </w:pPr>
    </w:p>
    <w:p w14:paraId="517C8BCC" w14:textId="77777777" w:rsidR="00BC2651" w:rsidRPr="002B301F" w:rsidRDefault="006432BA">
      <w:pPr>
        <w:spacing w:line="240" w:lineRule="auto"/>
        <w:jc w:val="both"/>
        <w:rPr>
          <w:color w:val="000000" w:themeColor="text1"/>
          <w:lang w:val="fr-FR"/>
        </w:rPr>
      </w:pPr>
      <w:r w:rsidRPr="002B301F">
        <w:rPr>
          <w:b/>
          <w:color w:val="000000" w:themeColor="text1"/>
          <w:lang w:val="fr-FR"/>
        </w:rPr>
        <w:t xml:space="preserve">Paiement par l'utilisateur : </w:t>
      </w:r>
      <w:r w:rsidRPr="002B301F">
        <w:rPr>
          <w:color w:val="000000" w:themeColor="text1"/>
          <w:lang w:val="fr-FR"/>
        </w:rPr>
        <w:t xml:space="preserve">Les revenus provenant des abonnements et du paiement direct ont augmenté pour les journaux en Norvège et en Suède au cours des 10 dernières années, pour atteindre 60 % en Norvège (2020), diminuant ainsi la dépendance des </w:t>
      </w:r>
      <w:proofErr w:type="gramStart"/>
      <w:r w:rsidRPr="002B301F">
        <w:rPr>
          <w:color w:val="000000" w:themeColor="text1"/>
          <w:lang w:val="fr-FR"/>
        </w:rPr>
        <w:t>médias d'information</w:t>
      </w:r>
      <w:proofErr w:type="gramEnd"/>
      <w:r w:rsidRPr="002B301F">
        <w:rPr>
          <w:color w:val="000000" w:themeColor="text1"/>
          <w:lang w:val="fr-FR"/>
        </w:rPr>
        <w:t xml:space="preserve"> aux revenus publicitaires. Le Reuters Digital News Report (2021) attribue ce phénomène à une plus grande volonté de payer pour les actualités parmi les publics et à l'offre de forfaits numériques/imprimés (Newman et al., 2019). 45 % des audiences en Norvège paient pour les actualités. </w:t>
      </w:r>
    </w:p>
    <w:p w14:paraId="320C0194" w14:textId="77777777" w:rsidR="007A283A" w:rsidRPr="002B301F" w:rsidRDefault="007A283A" w:rsidP="007A283A">
      <w:pPr>
        <w:spacing w:line="240" w:lineRule="auto"/>
        <w:jc w:val="both"/>
        <w:rPr>
          <w:color w:val="000000" w:themeColor="text1"/>
          <w:lang w:val="fr-FR"/>
        </w:rPr>
      </w:pPr>
    </w:p>
    <w:p w14:paraId="11A556E5" w14:textId="522DA33A" w:rsidR="00BC2651" w:rsidRPr="002B301F" w:rsidRDefault="006432BA">
      <w:pPr>
        <w:spacing w:line="240" w:lineRule="auto"/>
        <w:jc w:val="both"/>
        <w:rPr>
          <w:color w:val="000000" w:themeColor="text1"/>
          <w:lang w:val="fr-FR"/>
        </w:rPr>
      </w:pPr>
      <w:r w:rsidRPr="002B301F">
        <w:rPr>
          <w:b/>
          <w:color w:val="000000" w:themeColor="text1"/>
          <w:lang w:val="fr-FR"/>
        </w:rPr>
        <w:t>Soutien de l'État (également des partenariats</w:t>
      </w:r>
      <w:proofErr w:type="gramStart"/>
      <w:r w:rsidRPr="002B301F">
        <w:rPr>
          <w:b/>
          <w:color w:val="000000" w:themeColor="text1"/>
          <w:lang w:val="fr-FR"/>
        </w:rPr>
        <w:t>):</w:t>
      </w:r>
      <w:proofErr w:type="gramEnd"/>
      <w:r w:rsidRPr="002B301F">
        <w:rPr>
          <w:b/>
          <w:color w:val="000000" w:themeColor="text1"/>
          <w:lang w:val="fr-FR"/>
        </w:rPr>
        <w:t xml:space="preserve"> </w:t>
      </w:r>
      <w:r w:rsidRPr="002B301F">
        <w:rPr>
          <w:color w:val="000000" w:themeColor="text1"/>
          <w:lang w:val="fr-FR"/>
        </w:rPr>
        <w:t>Au Royaume-Uni, la BBC soutient les médias locaux par le biais d'un service de reportage sur la démocratie locale qui comprend le partage de capacités journalistiques de données avec les médias locaux, des programmes de formation et du contenu local. Ce service est financé par la licence de la BBC. Les stations de radio locales idéales et bénévoles du Royaume-Uni reçoivent également un certain soutien direct à la production. Des mesures visant à éviter les angles morts figurent également dans le programme de soutien suédois, avec un soutien direct aux médias locaux et régionaux. Pour permettre la prévisibilité et la durabilité sur les marchés qui risquent de développer des angles morts, le soutien est accordé pour trois ans à la fois et couvre 75 % des coûts éditoriaux. Dans l'ensemble des pays nordiques, le soutien direct de l'État est principalement destiné à couvrir les coûts rédactionnels.</w:t>
      </w:r>
    </w:p>
    <w:p w14:paraId="0F0357A6" w14:textId="77777777" w:rsidR="007A283A" w:rsidRPr="002B301F" w:rsidRDefault="007A283A" w:rsidP="007A283A">
      <w:pPr>
        <w:spacing w:line="240" w:lineRule="auto"/>
        <w:jc w:val="both"/>
        <w:rPr>
          <w:color w:val="000000" w:themeColor="text1"/>
          <w:lang w:val="fr-FR"/>
        </w:rPr>
      </w:pPr>
    </w:p>
    <w:p w14:paraId="0E464796" w14:textId="77777777" w:rsidR="00BC2651" w:rsidRPr="002B301F" w:rsidRDefault="006432BA">
      <w:pPr>
        <w:spacing w:line="240" w:lineRule="auto"/>
        <w:jc w:val="both"/>
        <w:rPr>
          <w:color w:val="000000" w:themeColor="text1"/>
          <w:lang w:val="fr-FR"/>
        </w:rPr>
      </w:pPr>
      <w:r w:rsidRPr="002B301F">
        <w:rPr>
          <w:b/>
          <w:color w:val="000000" w:themeColor="text1"/>
          <w:lang w:val="fr-FR"/>
        </w:rPr>
        <w:t xml:space="preserve">Politiques fiscales : </w:t>
      </w:r>
      <w:r w:rsidRPr="002B301F">
        <w:rPr>
          <w:color w:val="000000" w:themeColor="text1"/>
          <w:lang w:val="fr-FR"/>
        </w:rPr>
        <w:t>Le crédit d'impôt pour la main-d'œuvre du journalisme canadien est un crédit d'impôt remboursable de 25 % sur le total des dépenses de main-d'œuvre admissibles engagées à l'égard de chaque employé admissible de la salle de rédaction d'un organisme de journalisme admissible, moins tout montant reçu de l'Aide aux éditeurs à tout moment de l'année.</w:t>
      </w:r>
    </w:p>
    <w:p w14:paraId="3934F586" w14:textId="77777777" w:rsidR="007A283A" w:rsidRPr="002B301F" w:rsidRDefault="007A283A" w:rsidP="007A283A">
      <w:pPr>
        <w:spacing w:line="240" w:lineRule="auto"/>
        <w:jc w:val="both"/>
        <w:rPr>
          <w:color w:val="000000" w:themeColor="text1"/>
          <w:lang w:val="fr-FR"/>
        </w:rPr>
      </w:pPr>
    </w:p>
    <w:p w14:paraId="3FBBD9B7" w14:textId="77777777" w:rsidR="00BC2651" w:rsidRPr="002B301F" w:rsidRDefault="006432BA">
      <w:pPr>
        <w:spacing w:line="240" w:lineRule="auto"/>
        <w:jc w:val="both"/>
        <w:rPr>
          <w:color w:val="000000" w:themeColor="text1"/>
          <w:lang w:val="fr-FR"/>
        </w:rPr>
      </w:pPr>
      <w:r w:rsidRPr="002B301F">
        <w:rPr>
          <w:b/>
          <w:color w:val="000000" w:themeColor="text1"/>
          <w:lang w:val="fr-FR"/>
        </w:rPr>
        <w:t xml:space="preserve">Diversifier les sources de revenus : </w:t>
      </w:r>
      <w:r w:rsidRPr="002B301F">
        <w:rPr>
          <w:color w:val="000000" w:themeColor="text1"/>
          <w:lang w:val="fr-FR"/>
        </w:rPr>
        <w:t>L'éditeur danois JP/</w:t>
      </w:r>
      <w:proofErr w:type="spellStart"/>
      <w:r w:rsidRPr="002B301F">
        <w:rPr>
          <w:color w:val="000000" w:themeColor="text1"/>
          <w:lang w:val="fr-FR"/>
        </w:rPr>
        <w:t>Politikens</w:t>
      </w:r>
      <w:proofErr w:type="spellEnd"/>
      <w:r w:rsidRPr="002B301F">
        <w:rPr>
          <w:color w:val="000000" w:themeColor="text1"/>
          <w:lang w:val="fr-FR"/>
        </w:rPr>
        <w:t xml:space="preserve"> Hus a eu recours à des services interentreprises pour diversifier ses sources de revenus, notamment dans le domaine des informations spécialisées, par exemple les nouvelles adaptées à des groupes cibles tels que les industries agricoles et les secteurs financiers. Le journal italien "Il Post" est un autre </w:t>
      </w:r>
      <w:r w:rsidRPr="002B301F">
        <w:rPr>
          <w:color w:val="000000" w:themeColor="text1"/>
          <w:lang w:val="fr-FR"/>
        </w:rPr>
        <w:lastRenderedPageBreak/>
        <w:t>exemple de diversification des sources de financement (abonnements, publicité, cours en ligne et autres</w:t>
      </w:r>
      <w:r w:rsidRPr="002B301F">
        <w:rPr>
          <w:color w:val="000000" w:themeColor="text1"/>
          <w:vertAlign w:val="superscript"/>
          <w:lang w:val="fr-FR"/>
        </w:rPr>
        <w:footnoteReference w:id="2"/>
      </w:r>
      <w:r w:rsidRPr="002B301F">
        <w:rPr>
          <w:color w:val="000000" w:themeColor="text1"/>
          <w:lang w:val="fr-FR"/>
        </w:rPr>
        <w:t xml:space="preserve"> ).  </w:t>
      </w:r>
    </w:p>
    <w:p w14:paraId="249C18A0" w14:textId="77777777" w:rsidR="007A283A" w:rsidRPr="002B301F" w:rsidRDefault="007A283A" w:rsidP="007A283A">
      <w:pPr>
        <w:spacing w:line="240" w:lineRule="auto"/>
        <w:rPr>
          <w:b/>
          <w:color w:val="000000" w:themeColor="text1"/>
          <w:lang w:val="fr-FR"/>
        </w:rPr>
      </w:pPr>
    </w:p>
    <w:p w14:paraId="13696F1F" w14:textId="77777777" w:rsidR="00BC2651" w:rsidRPr="002B301F" w:rsidRDefault="006432BA">
      <w:pPr>
        <w:spacing w:line="240" w:lineRule="auto"/>
        <w:rPr>
          <w:b/>
          <w:color w:val="000000" w:themeColor="text1"/>
          <w:lang w:val="fr-FR"/>
        </w:rPr>
      </w:pPr>
      <w:r w:rsidRPr="002B301F">
        <w:rPr>
          <w:b/>
          <w:color w:val="000000" w:themeColor="text1"/>
          <w:lang w:val="fr-FR"/>
        </w:rPr>
        <w:t>Table des matières de Bonnes pratiques pour un financement durable des médias</w:t>
      </w:r>
    </w:p>
    <w:p w14:paraId="4ED8A631" w14:textId="77777777" w:rsidR="007A283A" w:rsidRPr="002B301F" w:rsidRDefault="007A283A" w:rsidP="007A283A">
      <w:pPr>
        <w:spacing w:line="240" w:lineRule="auto"/>
        <w:rPr>
          <w:b/>
          <w:color w:val="000000" w:themeColor="text1"/>
          <w:lang w:val="fr-FR"/>
        </w:rPr>
      </w:pPr>
    </w:p>
    <w:p w14:paraId="686C8CE6"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Résumé exécutif</w:t>
      </w:r>
    </w:p>
    <w:p w14:paraId="2766515C" w14:textId="71AD7B7D" w:rsidR="00BC2651" w:rsidRPr="002B301F" w:rsidRDefault="006432BA" w:rsidP="00317047">
      <w:pPr>
        <w:spacing w:line="240" w:lineRule="auto"/>
        <w:jc w:val="both"/>
        <w:rPr>
          <w:i/>
          <w:color w:val="000000" w:themeColor="text1"/>
          <w:lang w:val="fr-FR"/>
        </w:rPr>
      </w:pPr>
      <w:r w:rsidRPr="002B301F">
        <w:rPr>
          <w:i/>
          <w:color w:val="000000" w:themeColor="text1"/>
          <w:lang w:val="fr-FR"/>
        </w:rPr>
        <w:t>Le résumé présentera les principales recommandations et les meilleures pratiques du</w:t>
      </w:r>
      <w:r w:rsidR="00317047" w:rsidRPr="002B301F">
        <w:rPr>
          <w:i/>
          <w:color w:val="000000" w:themeColor="text1"/>
          <w:lang w:val="fr-FR"/>
        </w:rPr>
        <w:t xml:space="preserve"> </w:t>
      </w:r>
      <w:r w:rsidRPr="002B301F">
        <w:rPr>
          <w:i/>
          <w:color w:val="000000" w:themeColor="text1"/>
          <w:lang w:val="fr-FR"/>
        </w:rPr>
        <w:t xml:space="preserve">rapport. </w:t>
      </w:r>
    </w:p>
    <w:p w14:paraId="1B4C0F4A"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Introduction</w:t>
      </w:r>
    </w:p>
    <w:p w14:paraId="4FF34DB1"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 xml:space="preserve">L'introduction présentera la raison d'être du rapport, en exposant les principaux enjeux et les défis financiers majeurs pour les secteurs des </w:t>
      </w:r>
      <w:proofErr w:type="gramStart"/>
      <w:r w:rsidRPr="002B301F">
        <w:rPr>
          <w:i/>
          <w:color w:val="000000" w:themeColor="text1"/>
          <w:lang w:val="fr-FR"/>
        </w:rPr>
        <w:t>médias d'information</w:t>
      </w:r>
      <w:proofErr w:type="gramEnd"/>
      <w:r w:rsidRPr="002B301F">
        <w:rPr>
          <w:i/>
          <w:color w:val="000000" w:themeColor="text1"/>
          <w:lang w:val="fr-FR"/>
        </w:rPr>
        <w:t xml:space="preserve">. L'introduction fournira une vue d'ensemble des données incluses pour vérifier la durabilité, évaluer dans quelle mesure le journalisme est sous-financé, et souligner le développement de nouveaux modèles d'affaires et de revenus dans le secteur. Le raisonnement sera en outre ancré dans le rôle des États dans la mise en place d'un cadre pour le journalisme indépendant en tant que bien public. L'objectif de l'introduction est de fournir un cadre pour l'identification de bonnes pratiques pour un financement durable des médias, avec une ligne directrice sur la façon dont les États et les acteurs/parties prenantes des médias peuvent utiliser les conclusions du rapport. </w:t>
      </w:r>
    </w:p>
    <w:p w14:paraId="43F867E7"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Un cadre d'analyse</w:t>
      </w:r>
    </w:p>
    <w:p w14:paraId="2BB6D246"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 xml:space="preserve">Le cadre décrira la portée de l'analyse, les perspectives économiques supposées et les perspectives réglementaires dans lesquelles les meilleures pratiques sont exposées. </w:t>
      </w:r>
    </w:p>
    <w:p w14:paraId="1FAD9A9A" w14:textId="77777777" w:rsidR="00BC2651" w:rsidRPr="002B301F" w:rsidRDefault="006432BA" w:rsidP="00317047">
      <w:pPr>
        <w:spacing w:line="240" w:lineRule="auto"/>
        <w:ind w:left="720"/>
        <w:jc w:val="both"/>
        <w:rPr>
          <w:b/>
          <w:color w:val="000000" w:themeColor="text1"/>
          <w:lang w:val="fr-FR"/>
        </w:rPr>
      </w:pPr>
      <w:r w:rsidRPr="002B301F">
        <w:rPr>
          <w:b/>
          <w:color w:val="000000" w:themeColor="text1"/>
          <w:lang w:val="fr-FR"/>
        </w:rPr>
        <w:t>3.1) Portée de l'analyse et définitions</w:t>
      </w:r>
    </w:p>
    <w:p w14:paraId="6210D13F"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Cette section décrit la portée de l'analyse et définit le "financement durable des médias" dans le contexte des marchés et des systèmes médiatiques, des développements technologiques, du rôle du journalisme dans la société et des conditions de travail des journalistes, notamment des femmes journalistes. La section tient également compte de la portée géographique aux niveaux national et local.</w:t>
      </w:r>
    </w:p>
    <w:p w14:paraId="3A384CC8" w14:textId="77777777" w:rsidR="00BC2651" w:rsidRPr="002B301F" w:rsidRDefault="006432BA" w:rsidP="00317047">
      <w:pPr>
        <w:spacing w:line="240" w:lineRule="auto"/>
        <w:ind w:left="720"/>
        <w:jc w:val="both"/>
        <w:rPr>
          <w:b/>
          <w:color w:val="000000" w:themeColor="text1"/>
          <w:lang w:val="fr-FR"/>
        </w:rPr>
      </w:pPr>
      <w:r w:rsidRPr="002B301F">
        <w:rPr>
          <w:b/>
          <w:color w:val="000000" w:themeColor="text1"/>
          <w:lang w:val="fr-FR"/>
        </w:rPr>
        <w:t xml:space="preserve">3.1.1. Perspective économique </w:t>
      </w:r>
    </w:p>
    <w:p w14:paraId="1CE667E7"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 xml:space="preserve">La section décrira la perspective économique et l'étendue des sources de revenus envisagées, notamment en décrivant les revenus et le modèle économique des médias journalistiques, les régimes d'aide publique et les recettes d'audience/publicité dans les industries de l'information. </w:t>
      </w:r>
    </w:p>
    <w:p w14:paraId="4E2CDB30" w14:textId="77777777" w:rsidR="00BC2651" w:rsidRPr="002B301F" w:rsidRDefault="006432BA" w:rsidP="00317047">
      <w:pPr>
        <w:spacing w:line="240" w:lineRule="auto"/>
        <w:ind w:left="720"/>
        <w:jc w:val="both"/>
        <w:rPr>
          <w:b/>
          <w:color w:val="000000" w:themeColor="text1"/>
          <w:lang w:val="fr-FR"/>
        </w:rPr>
      </w:pPr>
      <w:r w:rsidRPr="002B301F">
        <w:rPr>
          <w:b/>
          <w:color w:val="000000" w:themeColor="text1"/>
          <w:lang w:val="fr-FR"/>
        </w:rPr>
        <w:t xml:space="preserve">3.1.2 Perspective réglementaire </w:t>
      </w:r>
    </w:p>
    <w:p w14:paraId="29E1AB36" w14:textId="69480EBA" w:rsidR="00BC2651" w:rsidRPr="002B301F" w:rsidRDefault="006432BA" w:rsidP="00317047">
      <w:pPr>
        <w:spacing w:line="240" w:lineRule="auto"/>
        <w:jc w:val="both"/>
        <w:rPr>
          <w:i/>
          <w:color w:val="000000" w:themeColor="text1"/>
          <w:lang w:val="fr-FR"/>
        </w:rPr>
      </w:pPr>
      <w:r w:rsidRPr="002B301F">
        <w:rPr>
          <w:i/>
          <w:color w:val="000000" w:themeColor="text1"/>
          <w:lang w:val="fr-FR"/>
        </w:rPr>
        <w:t xml:space="preserve">Cette section présentera les instruments réglementaires pertinents envisagés, y compris les différents régimes de soutien des </w:t>
      </w:r>
      <w:r w:rsidR="0025528B" w:rsidRPr="002B301F">
        <w:rPr>
          <w:i/>
          <w:color w:val="000000" w:themeColor="text1"/>
          <w:lang w:val="fr-FR"/>
        </w:rPr>
        <w:t>États</w:t>
      </w:r>
      <w:r w:rsidRPr="002B301F">
        <w:rPr>
          <w:i/>
          <w:color w:val="000000" w:themeColor="text1"/>
          <w:lang w:val="fr-FR"/>
        </w:rPr>
        <w:t xml:space="preserve"> membres, la gamme des régimes de soutien direct et indirect, et les conditions de soutien. Cette section résumera également les objectifs normatifs soutenant la réglementation des médias et les mécanismes de soutien de l'État.</w:t>
      </w:r>
    </w:p>
    <w:p w14:paraId="51720A3D"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Méthodologie utilisée pour la collecte des données et la sélection des bonnes pratiques</w:t>
      </w:r>
    </w:p>
    <w:p w14:paraId="1EFF94EA"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Cette section donne un aperçu de la méthodologie utilisée pour recueillir les idées et les informations qui alimenteront ce rapport. Le rapport s'appuiera principalement sur une recherche documentaire et une analyse des publications universitaires, industrielles et politiques pertinentes. Ces informations pourront ensuite être intégrées à une collecte de données comprenant une enquête à laquelle répondront les représentants des États membres.</w:t>
      </w:r>
    </w:p>
    <w:p w14:paraId="4E0084D0" w14:textId="77777777" w:rsidR="00BC2651" w:rsidRPr="002B301F" w:rsidRDefault="006432BA" w:rsidP="00317047">
      <w:pPr>
        <w:spacing w:line="240" w:lineRule="auto"/>
        <w:ind w:left="720"/>
        <w:jc w:val="both"/>
        <w:rPr>
          <w:b/>
          <w:color w:val="000000" w:themeColor="text1"/>
          <w:lang w:val="fr-FR"/>
        </w:rPr>
      </w:pPr>
      <w:r w:rsidRPr="002B301F">
        <w:rPr>
          <w:b/>
          <w:color w:val="000000" w:themeColor="text1"/>
          <w:lang w:val="fr-FR"/>
        </w:rPr>
        <w:t>4.1.) Recherche documentaire</w:t>
      </w:r>
    </w:p>
    <w:p w14:paraId="04F3F50F" w14:textId="77777777" w:rsidR="00BC2651" w:rsidRPr="002B301F" w:rsidRDefault="006432BA" w:rsidP="00317047">
      <w:pPr>
        <w:spacing w:line="240" w:lineRule="auto"/>
        <w:jc w:val="both"/>
        <w:rPr>
          <w:color w:val="000000" w:themeColor="text1"/>
          <w:lang w:val="fr-FR"/>
        </w:rPr>
      </w:pPr>
      <w:r w:rsidRPr="002B301F">
        <w:rPr>
          <w:i/>
          <w:color w:val="000000" w:themeColor="text1"/>
          <w:lang w:val="fr-FR"/>
        </w:rPr>
        <w:t>La recherche documentaire consistera en une analyse documentaire des recherches pertinentes, des rapports des ministères concernés des États membres, de la littérature comparative ainsi que des documents réglementaires des États membres.</w:t>
      </w:r>
    </w:p>
    <w:p w14:paraId="1E0CFD98" w14:textId="77777777" w:rsidR="00BC2651" w:rsidRPr="002B301F" w:rsidRDefault="006432BA" w:rsidP="00317047">
      <w:pPr>
        <w:spacing w:line="240" w:lineRule="auto"/>
        <w:ind w:left="720"/>
        <w:jc w:val="both"/>
        <w:rPr>
          <w:b/>
          <w:color w:val="000000" w:themeColor="text1"/>
          <w:lang w:val="fr-FR"/>
        </w:rPr>
      </w:pPr>
      <w:r w:rsidRPr="002B301F">
        <w:rPr>
          <w:b/>
          <w:color w:val="000000" w:themeColor="text1"/>
          <w:lang w:val="fr-FR"/>
        </w:rPr>
        <w:t>4.2.) Enquête auprès des EM</w:t>
      </w:r>
    </w:p>
    <w:p w14:paraId="73696C15"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 xml:space="preserve">L'enquête visera à cartographier la génération de revenus dans les secteurs des </w:t>
      </w:r>
      <w:proofErr w:type="gramStart"/>
      <w:r w:rsidRPr="002B301F">
        <w:rPr>
          <w:i/>
          <w:color w:val="000000" w:themeColor="text1"/>
          <w:lang w:val="fr-FR"/>
        </w:rPr>
        <w:t>médias d'information</w:t>
      </w:r>
      <w:proofErr w:type="gramEnd"/>
      <w:r w:rsidRPr="002B301F">
        <w:rPr>
          <w:i/>
          <w:color w:val="000000" w:themeColor="text1"/>
          <w:lang w:val="fr-FR"/>
        </w:rPr>
        <w:t xml:space="preserve">, le nombre de journalistes employés et la part du marché publicitaire. L'enquête </w:t>
      </w:r>
      <w:r w:rsidRPr="002B301F">
        <w:rPr>
          <w:i/>
          <w:color w:val="000000" w:themeColor="text1"/>
          <w:lang w:val="fr-FR"/>
        </w:rPr>
        <w:lastRenderedPageBreak/>
        <w:t xml:space="preserve">posera également des questions sur le cadre réglementaire des États membres, le mode de financement des médias de service public et la présence de subventions directes. L'enquête demandera en outre aux répondants de signaler les meilleures pratiques. </w:t>
      </w:r>
    </w:p>
    <w:p w14:paraId="2E6466DA"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Analyse des meilleures pratiques</w:t>
      </w:r>
    </w:p>
    <w:p w14:paraId="5CCA9189"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Sur la base des résultats de la recherche, le rapport décrira les meilleures pratiques dans les modèles de paiement direct/abonnement, les modèles publicitaires, les modèles de crowdfunding et de dons/subventions, les régimes d'aide publique directe et indirecte, les régimes de redistribution des revenus du droit d'auteur, ainsi que les efforts visant à diversifier les sources de revenus. Il s'agira probablement de systèmes d'adhésion tels que le Guardian au Royaume-Uni, de modèles de partenariat dans lesquels les médias de service public apportent leur soutien aux structures d'information locales (par exemple, au Royaume-Uni), et de modèles de financement de l'innovation tels qu'on les trouve dans les pays nordiques.</w:t>
      </w:r>
    </w:p>
    <w:p w14:paraId="623E1487"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Conclusions</w:t>
      </w:r>
    </w:p>
    <w:p w14:paraId="02A65E22" w14:textId="77777777" w:rsidR="00BC2651" w:rsidRPr="002B301F" w:rsidRDefault="006432BA" w:rsidP="00317047">
      <w:pPr>
        <w:spacing w:line="240" w:lineRule="auto"/>
        <w:jc w:val="both"/>
        <w:rPr>
          <w:i/>
          <w:color w:val="000000" w:themeColor="text1"/>
          <w:lang w:val="fr-FR"/>
        </w:rPr>
      </w:pPr>
      <w:r w:rsidRPr="002B301F">
        <w:rPr>
          <w:i/>
          <w:color w:val="000000" w:themeColor="text1"/>
          <w:lang w:val="fr-FR"/>
        </w:rPr>
        <w:t>Les conclusions présenteront les principaux résultats du rapport et les bonnes pratiques recommandées pour un financement durable des médias.</w:t>
      </w:r>
    </w:p>
    <w:p w14:paraId="4375DEB9"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Résumé des documents pertinents du Conseil de l'Europe</w:t>
      </w:r>
    </w:p>
    <w:p w14:paraId="1BEE24AC" w14:textId="77777777" w:rsidR="00BC2651" w:rsidRPr="002B301F" w:rsidRDefault="006432BA" w:rsidP="00317047">
      <w:pPr>
        <w:numPr>
          <w:ilvl w:val="0"/>
          <w:numId w:val="5"/>
        </w:numPr>
        <w:spacing w:line="240" w:lineRule="auto"/>
        <w:jc w:val="both"/>
        <w:rPr>
          <w:b/>
          <w:color w:val="000000" w:themeColor="text1"/>
          <w:lang w:val="fr-FR"/>
        </w:rPr>
      </w:pPr>
      <w:r w:rsidRPr="002B301F">
        <w:rPr>
          <w:b/>
          <w:color w:val="000000" w:themeColor="text1"/>
          <w:lang w:val="fr-FR"/>
        </w:rPr>
        <w:t>Références</w:t>
      </w:r>
    </w:p>
    <w:p w14:paraId="1A018D37" w14:textId="77777777" w:rsidR="007A283A" w:rsidRPr="002B301F" w:rsidRDefault="007A283A" w:rsidP="00317047">
      <w:pPr>
        <w:spacing w:line="240" w:lineRule="auto"/>
        <w:jc w:val="both"/>
        <w:rPr>
          <w:color w:val="000000" w:themeColor="text1"/>
          <w:lang w:val="fr-FR"/>
        </w:rPr>
      </w:pPr>
    </w:p>
    <w:p w14:paraId="48932955" w14:textId="77777777" w:rsidR="00BC2651" w:rsidRPr="002B301F" w:rsidRDefault="006432BA">
      <w:pPr>
        <w:spacing w:line="240" w:lineRule="auto"/>
        <w:rPr>
          <w:i/>
          <w:color w:val="000000" w:themeColor="text1"/>
          <w:lang w:val="fr-FR"/>
        </w:rPr>
      </w:pPr>
      <w:r w:rsidRPr="002B301F">
        <w:rPr>
          <w:i/>
          <w:color w:val="000000" w:themeColor="text1"/>
          <w:lang w:val="fr-FR"/>
        </w:rPr>
        <w:t>Documents cités dans ce projet :</w:t>
      </w:r>
    </w:p>
    <w:p w14:paraId="50A57E1D" w14:textId="37B1B736" w:rsidR="00BC2651" w:rsidRPr="002B301F" w:rsidRDefault="006432BA">
      <w:pPr>
        <w:numPr>
          <w:ilvl w:val="0"/>
          <w:numId w:val="3"/>
        </w:numPr>
        <w:spacing w:line="240" w:lineRule="auto"/>
        <w:jc w:val="both"/>
        <w:rPr>
          <w:color w:val="000000" w:themeColor="text1"/>
          <w:lang w:val="fr-FR"/>
        </w:rPr>
      </w:pPr>
      <w:r w:rsidRPr="002B301F">
        <w:rPr>
          <w:color w:val="000000" w:themeColor="text1"/>
          <w:lang w:val="fr-FR"/>
        </w:rPr>
        <w:t xml:space="preserve">EUI/Centre for Media </w:t>
      </w:r>
      <w:proofErr w:type="spellStart"/>
      <w:r w:rsidRPr="002B301F">
        <w:rPr>
          <w:color w:val="000000" w:themeColor="text1"/>
          <w:lang w:val="fr-FR"/>
        </w:rPr>
        <w:t>Pluralism</w:t>
      </w:r>
      <w:proofErr w:type="spellEnd"/>
      <w:r w:rsidRPr="002B301F">
        <w:rPr>
          <w:color w:val="000000" w:themeColor="text1"/>
          <w:lang w:val="fr-FR"/>
        </w:rPr>
        <w:t xml:space="preserve"> and Media Freedom, et al, </w:t>
      </w:r>
      <w:proofErr w:type="spellStart"/>
      <w:r w:rsidRPr="002B301F">
        <w:rPr>
          <w:color w:val="000000" w:themeColor="text1"/>
          <w:lang w:val="fr-FR"/>
        </w:rPr>
        <w:t>Study</w:t>
      </w:r>
      <w:proofErr w:type="spellEnd"/>
      <w:r w:rsidRPr="002B301F">
        <w:rPr>
          <w:color w:val="000000" w:themeColor="text1"/>
          <w:lang w:val="fr-FR"/>
        </w:rPr>
        <w:t xml:space="preserve"> on media </w:t>
      </w:r>
      <w:proofErr w:type="spellStart"/>
      <w:r w:rsidRPr="002B301F">
        <w:rPr>
          <w:color w:val="000000" w:themeColor="text1"/>
          <w:lang w:val="fr-FR"/>
        </w:rPr>
        <w:t>plurality</w:t>
      </w:r>
      <w:proofErr w:type="spellEnd"/>
      <w:r w:rsidRPr="002B301F">
        <w:rPr>
          <w:color w:val="000000" w:themeColor="text1"/>
          <w:lang w:val="fr-FR"/>
        </w:rPr>
        <w:t xml:space="preserve"> and </w:t>
      </w:r>
      <w:proofErr w:type="spellStart"/>
      <w:r w:rsidRPr="002B301F">
        <w:rPr>
          <w:color w:val="000000" w:themeColor="text1"/>
          <w:lang w:val="fr-FR"/>
        </w:rPr>
        <w:t>diversity</w:t>
      </w:r>
      <w:proofErr w:type="spellEnd"/>
      <w:r w:rsidRPr="002B301F">
        <w:rPr>
          <w:color w:val="000000" w:themeColor="text1"/>
          <w:lang w:val="fr-FR"/>
        </w:rPr>
        <w:t xml:space="preserve"> online, à paraître en 2022 (L'étude, financée par la Commission européenne, a été réalisée par un consortium dirigé par le CMPF (EUI) et comprenant le </w:t>
      </w:r>
      <w:hyperlink r:id="rId9">
        <w:proofErr w:type="spellStart"/>
        <w:r w:rsidRPr="002B301F">
          <w:rPr>
            <w:color w:val="000000" w:themeColor="text1"/>
            <w:u w:val="single"/>
            <w:lang w:val="fr-FR"/>
          </w:rPr>
          <w:t>CiTiP</w:t>
        </w:r>
        <w:proofErr w:type="spellEnd"/>
        <w:r w:rsidRPr="002B301F">
          <w:rPr>
            <w:color w:val="000000" w:themeColor="text1"/>
            <w:u w:val="single"/>
            <w:lang w:val="fr-FR"/>
          </w:rPr>
          <w:t xml:space="preserve"> (Centre for Information </w:t>
        </w:r>
        <w:proofErr w:type="spellStart"/>
        <w:r w:rsidRPr="002B301F">
          <w:rPr>
            <w:color w:val="000000" w:themeColor="text1"/>
            <w:u w:val="single"/>
            <w:lang w:val="fr-FR"/>
          </w:rPr>
          <w:t>Technology</w:t>
        </w:r>
        <w:proofErr w:type="spellEnd"/>
        <w:r w:rsidRPr="002B301F">
          <w:rPr>
            <w:color w:val="000000" w:themeColor="text1"/>
            <w:u w:val="single"/>
            <w:lang w:val="fr-FR"/>
          </w:rPr>
          <w:t xml:space="preserve"> and </w:t>
        </w:r>
        <w:proofErr w:type="spellStart"/>
        <w:r w:rsidRPr="002B301F">
          <w:rPr>
            <w:color w:val="000000" w:themeColor="text1"/>
            <w:u w:val="single"/>
            <w:lang w:val="fr-FR"/>
          </w:rPr>
          <w:t>Intellectual</w:t>
        </w:r>
        <w:proofErr w:type="spellEnd"/>
        <w:r w:rsidRPr="002B301F">
          <w:rPr>
            <w:color w:val="000000" w:themeColor="text1"/>
            <w:u w:val="single"/>
            <w:lang w:val="fr-FR"/>
          </w:rPr>
          <w:t xml:space="preserve"> </w:t>
        </w:r>
        <w:proofErr w:type="spellStart"/>
        <w:r w:rsidRPr="002B301F">
          <w:rPr>
            <w:color w:val="000000" w:themeColor="text1"/>
            <w:u w:val="single"/>
            <w:lang w:val="fr-FR"/>
          </w:rPr>
          <w:t>Property</w:t>
        </w:r>
        <w:proofErr w:type="spellEnd"/>
        <w:r w:rsidRPr="002B301F">
          <w:rPr>
            <w:color w:val="000000" w:themeColor="text1"/>
            <w:u w:val="single"/>
            <w:lang w:val="fr-FR"/>
          </w:rPr>
          <w:t>) de la KU Leuven</w:t>
        </w:r>
      </w:hyperlink>
      <w:r w:rsidRPr="002B301F">
        <w:rPr>
          <w:color w:val="000000" w:themeColor="text1"/>
          <w:lang w:val="fr-FR"/>
        </w:rPr>
        <w:t xml:space="preserve">; </w:t>
      </w:r>
      <w:hyperlink r:id="rId10">
        <w:r w:rsidR="0025528B" w:rsidRPr="002B301F">
          <w:rPr>
            <w:rStyle w:val="Hyperlink"/>
            <w:lang w:val="fr-FR"/>
          </w:rPr>
          <w:t xml:space="preserve">the Institute for Information Law of the </w:t>
        </w:r>
        <w:proofErr w:type="spellStart"/>
        <w:r w:rsidR="0025528B" w:rsidRPr="002B301F">
          <w:rPr>
            <w:rStyle w:val="Hyperlink"/>
            <w:lang w:val="fr-FR"/>
          </w:rPr>
          <w:t>University</w:t>
        </w:r>
        <w:proofErr w:type="spellEnd"/>
        <w:r w:rsidR="0025528B" w:rsidRPr="002B301F">
          <w:rPr>
            <w:rStyle w:val="Hyperlink"/>
            <w:lang w:val="fr-FR"/>
          </w:rPr>
          <w:t xml:space="preserve"> of Amsterdam (</w:t>
        </w:r>
        <w:proofErr w:type="spellStart"/>
        <w:r w:rsidR="0025528B" w:rsidRPr="002B301F">
          <w:rPr>
            <w:rStyle w:val="Hyperlink"/>
            <w:lang w:val="fr-FR"/>
          </w:rPr>
          <w:t>IViR</w:t>
        </w:r>
        <w:proofErr w:type="spellEnd"/>
        <w:r w:rsidR="0025528B" w:rsidRPr="002B301F">
          <w:rPr>
            <w:rStyle w:val="Hyperlink"/>
            <w:lang w:val="fr-FR"/>
          </w:rPr>
          <w:t>/</w:t>
        </w:r>
        <w:proofErr w:type="spellStart"/>
        <w:r w:rsidR="0025528B" w:rsidRPr="002B301F">
          <w:rPr>
            <w:rStyle w:val="Hyperlink"/>
            <w:lang w:val="fr-FR"/>
          </w:rPr>
          <w:t>UvA</w:t>
        </w:r>
        <w:proofErr w:type="spellEnd"/>
        <w:r w:rsidR="0025528B" w:rsidRPr="002B301F">
          <w:rPr>
            <w:rStyle w:val="Hyperlink"/>
            <w:lang w:val="fr-FR"/>
          </w:rPr>
          <w:t>)</w:t>
        </w:r>
      </w:hyperlink>
      <w:r w:rsidR="0025528B" w:rsidRPr="002B301F">
        <w:rPr>
          <w:lang w:val="fr-FR"/>
        </w:rPr>
        <w:t xml:space="preserve">; </w:t>
      </w:r>
      <w:hyperlink r:id="rId11">
        <w:r w:rsidR="0025528B" w:rsidRPr="002B301F">
          <w:rPr>
            <w:rStyle w:val="Hyperlink"/>
            <w:lang w:val="fr-FR"/>
          </w:rPr>
          <w:t xml:space="preserve">the </w:t>
        </w:r>
        <w:proofErr w:type="spellStart"/>
        <w:r w:rsidR="0025528B" w:rsidRPr="002B301F">
          <w:rPr>
            <w:rStyle w:val="Hyperlink"/>
            <w:lang w:val="fr-FR"/>
          </w:rPr>
          <w:t>Vrije</w:t>
        </w:r>
        <w:proofErr w:type="spellEnd"/>
        <w:r w:rsidR="0025528B" w:rsidRPr="002B301F">
          <w:rPr>
            <w:rStyle w:val="Hyperlink"/>
            <w:lang w:val="fr-FR"/>
          </w:rPr>
          <w:t xml:space="preserve"> </w:t>
        </w:r>
        <w:proofErr w:type="spellStart"/>
        <w:r w:rsidR="0025528B" w:rsidRPr="002B301F">
          <w:rPr>
            <w:rStyle w:val="Hyperlink"/>
            <w:lang w:val="fr-FR"/>
          </w:rPr>
          <w:t>Universiteit</w:t>
        </w:r>
        <w:proofErr w:type="spellEnd"/>
        <w:r w:rsidR="0025528B" w:rsidRPr="002B301F">
          <w:rPr>
            <w:rStyle w:val="Hyperlink"/>
            <w:lang w:val="fr-FR"/>
          </w:rPr>
          <w:t xml:space="preserve"> Brussels (</w:t>
        </w:r>
        <w:proofErr w:type="spellStart"/>
        <w:r w:rsidR="0025528B" w:rsidRPr="002B301F">
          <w:rPr>
            <w:rStyle w:val="Hyperlink"/>
            <w:lang w:val="fr-FR"/>
          </w:rPr>
          <w:t>Studies</w:t>
        </w:r>
        <w:proofErr w:type="spellEnd"/>
        <w:r w:rsidR="0025528B" w:rsidRPr="002B301F">
          <w:rPr>
            <w:rStyle w:val="Hyperlink"/>
            <w:lang w:val="fr-FR"/>
          </w:rPr>
          <w:t xml:space="preserve"> in Media, Innovation and </w:t>
        </w:r>
        <w:proofErr w:type="spellStart"/>
        <w:r w:rsidR="0025528B" w:rsidRPr="002B301F">
          <w:rPr>
            <w:rStyle w:val="Hyperlink"/>
            <w:lang w:val="fr-FR"/>
          </w:rPr>
          <w:t>Technology</w:t>
        </w:r>
        <w:proofErr w:type="spellEnd"/>
        <w:r w:rsidR="0025528B" w:rsidRPr="002B301F">
          <w:rPr>
            <w:rStyle w:val="Hyperlink"/>
            <w:lang w:val="fr-FR"/>
          </w:rPr>
          <w:t>, VUB- SMIT)</w:t>
        </w:r>
      </w:hyperlink>
      <w:r w:rsidR="0025528B" w:rsidRPr="002B301F">
        <w:rPr>
          <w:lang w:val="fr-FR"/>
        </w:rPr>
        <w:t>.</w:t>
      </w:r>
    </w:p>
    <w:p w14:paraId="77E40F60" w14:textId="305654A6" w:rsidR="00BC2651" w:rsidRPr="002B301F" w:rsidRDefault="002B301F">
      <w:pPr>
        <w:numPr>
          <w:ilvl w:val="0"/>
          <w:numId w:val="3"/>
        </w:numPr>
        <w:spacing w:line="240" w:lineRule="auto"/>
        <w:jc w:val="both"/>
        <w:rPr>
          <w:color w:val="000000" w:themeColor="text1"/>
          <w:lang w:val="en-US"/>
        </w:rPr>
      </w:pPr>
      <w:r w:rsidRPr="002B301F">
        <w:rPr>
          <w:color w:val="000000" w:themeColor="text1"/>
          <w:lang w:val="en-US"/>
        </w:rPr>
        <w:t>Bleyer-Simon, Konrad</w:t>
      </w:r>
      <w:r w:rsidRPr="002B301F">
        <w:rPr>
          <w:color w:val="000000" w:themeColor="text1"/>
          <w:highlight w:val="white"/>
          <w:lang w:val="en-US"/>
        </w:rPr>
        <w:t xml:space="preserve">, </w:t>
      </w:r>
      <w:proofErr w:type="spellStart"/>
      <w:r w:rsidRPr="002B301F">
        <w:rPr>
          <w:color w:val="000000" w:themeColor="text1"/>
          <w:lang w:val="en-US"/>
        </w:rPr>
        <w:t>Brogi</w:t>
      </w:r>
      <w:proofErr w:type="spellEnd"/>
      <w:r w:rsidRPr="002B301F">
        <w:rPr>
          <w:color w:val="000000" w:themeColor="text1"/>
          <w:lang w:val="en-US"/>
        </w:rPr>
        <w:t>, Elda</w:t>
      </w:r>
      <w:r w:rsidRPr="002B301F">
        <w:rPr>
          <w:color w:val="000000" w:themeColor="text1"/>
          <w:highlight w:val="white"/>
          <w:lang w:val="en-US"/>
        </w:rPr>
        <w:t xml:space="preserve">, </w:t>
      </w:r>
      <w:proofErr w:type="spellStart"/>
      <w:r w:rsidRPr="002B301F">
        <w:rPr>
          <w:color w:val="000000" w:themeColor="text1"/>
          <w:lang w:val="en-US"/>
        </w:rPr>
        <w:t>Carlini</w:t>
      </w:r>
      <w:proofErr w:type="spellEnd"/>
      <w:r w:rsidRPr="002B301F">
        <w:rPr>
          <w:color w:val="000000" w:themeColor="text1"/>
          <w:lang w:val="en-US"/>
        </w:rPr>
        <w:t>, Roberta Maria</w:t>
      </w:r>
      <w:r w:rsidRPr="002B301F">
        <w:rPr>
          <w:color w:val="000000" w:themeColor="text1"/>
          <w:highlight w:val="white"/>
          <w:lang w:val="en-US"/>
        </w:rPr>
        <w:t xml:space="preserve">, </w:t>
      </w:r>
      <w:proofErr w:type="spellStart"/>
      <w:r w:rsidRPr="002B301F">
        <w:rPr>
          <w:color w:val="000000" w:themeColor="text1"/>
          <w:lang w:val="en-US"/>
        </w:rPr>
        <w:t>Nenadic</w:t>
      </w:r>
      <w:proofErr w:type="spellEnd"/>
      <w:r w:rsidRPr="002B301F">
        <w:rPr>
          <w:color w:val="000000" w:themeColor="text1"/>
          <w:lang w:val="en-US"/>
        </w:rPr>
        <w:t>, Iva</w:t>
      </w:r>
      <w:r w:rsidRPr="002B301F">
        <w:rPr>
          <w:color w:val="000000" w:themeColor="text1"/>
          <w:highlight w:val="white"/>
          <w:lang w:val="en-US"/>
        </w:rPr>
        <w:t xml:space="preserve">, </w:t>
      </w:r>
      <w:r w:rsidRPr="002B301F">
        <w:rPr>
          <w:color w:val="000000" w:themeColor="text1"/>
          <w:lang w:val="en-US"/>
        </w:rPr>
        <w:t>Palmer, Marie</w:t>
      </w:r>
      <w:r w:rsidRPr="002B301F">
        <w:rPr>
          <w:color w:val="000000" w:themeColor="text1"/>
          <w:highlight w:val="white"/>
          <w:lang w:val="en-US"/>
        </w:rPr>
        <w:t xml:space="preserve">, </w:t>
      </w:r>
      <w:proofErr w:type="spellStart"/>
      <w:r w:rsidRPr="002B301F">
        <w:rPr>
          <w:color w:val="000000" w:themeColor="text1"/>
          <w:lang w:val="en-US"/>
        </w:rPr>
        <w:t>Parcu</w:t>
      </w:r>
      <w:proofErr w:type="spellEnd"/>
      <w:r w:rsidRPr="002B301F">
        <w:rPr>
          <w:color w:val="000000" w:themeColor="text1"/>
          <w:lang w:val="en-US"/>
        </w:rPr>
        <w:t>, Pier Luigi</w:t>
      </w:r>
      <w:r w:rsidRPr="002B301F">
        <w:rPr>
          <w:color w:val="000000" w:themeColor="text1"/>
          <w:highlight w:val="white"/>
          <w:lang w:val="en-US"/>
        </w:rPr>
        <w:t xml:space="preserve">, </w:t>
      </w:r>
      <w:proofErr w:type="spellStart"/>
      <w:r w:rsidRPr="002B301F">
        <w:rPr>
          <w:color w:val="000000" w:themeColor="text1"/>
          <w:lang w:val="en-US"/>
        </w:rPr>
        <w:t>Verza</w:t>
      </w:r>
      <w:proofErr w:type="spellEnd"/>
      <w:r w:rsidRPr="002B301F">
        <w:rPr>
          <w:color w:val="000000" w:themeColor="text1"/>
          <w:lang w:val="en-US"/>
        </w:rPr>
        <w:t>, Sofia</w:t>
      </w:r>
      <w:r w:rsidRPr="002B301F">
        <w:rPr>
          <w:color w:val="000000" w:themeColor="text1"/>
          <w:highlight w:val="white"/>
          <w:lang w:val="en-US"/>
        </w:rPr>
        <w:t xml:space="preserve">, </w:t>
      </w:r>
      <w:r w:rsidRPr="002B301F">
        <w:rPr>
          <w:color w:val="000000" w:themeColor="text1"/>
          <w:lang w:val="en-US"/>
        </w:rPr>
        <w:t>Viola De Azevedo Cunha, Mario</w:t>
      </w:r>
      <w:r w:rsidRPr="002B301F">
        <w:rPr>
          <w:color w:val="000000" w:themeColor="text1"/>
          <w:highlight w:val="white"/>
          <w:lang w:val="en-US"/>
        </w:rPr>
        <w:t xml:space="preserve">, </w:t>
      </w:r>
      <w:proofErr w:type="spellStart"/>
      <w:r w:rsidRPr="002B301F">
        <w:rPr>
          <w:color w:val="000000" w:themeColor="text1"/>
          <w:highlight w:val="white"/>
          <w:lang w:val="en-US"/>
        </w:rPr>
        <w:t>Žuffová</w:t>
      </w:r>
      <w:proofErr w:type="spellEnd"/>
      <w:r w:rsidRPr="002B301F">
        <w:rPr>
          <w:color w:val="000000" w:themeColor="text1"/>
          <w:lang w:val="en-US"/>
        </w:rPr>
        <w:t>,</w:t>
      </w:r>
      <w:r w:rsidR="006432BA" w:rsidRPr="002B301F">
        <w:rPr>
          <w:color w:val="000000" w:themeColor="text1"/>
          <w:lang w:val="en-US"/>
        </w:rPr>
        <w:t xml:space="preserve"> </w:t>
      </w:r>
      <w:proofErr w:type="spellStart"/>
      <w:r w:rsidR="006432BA" w:rsidRPr="002B301F">
        <w:rPr>
          <w:color w:val="000000" w:themeColor="text1"/>
          <w:lang w:val="en-US"/>
        </w:rPr>
        <w:t>Mária</w:t>
      </w:r>
      <w:proofErr w:type="spellEnd"/>
      <w:r w:rsidR="006432BA" w:rsidRPr="002B301F">
        <w:rPr>
          <w:color w:val="000000" w:themeColor="text1"/>
          <w:highlight w:val="white"/>
          <w:lang w:val="en-US"/>
        </w:rPr>
        <w:t xml:space="preserve">, </w:t>
      </w:r>
      <w:r w:rsidR="0025528B" w:rsidRPr="002B301F">
        <w:rPr>
          <w:i/>
          <w:color w:val="000000" w:themeColor="text1"/>
          <w:lang w:val="en-US"/>
        </w:rPr>
        <w:t>Monitoring media pluralism in the digital era : application of the Media Pluralism Monitor in the European Union, Albania, Montenegro, Republic of North Macedonia, Serbia &amp; Turkey in the year 2020, Centre for Media Pluralism and Media Freedom (CMPF), 2021</w:t>
      </w:r>
      <w:r w:rsidR="006432BA" w:rsidRPr="002B301F">
        <w:rPr>
          <w:color w:val="000000" w:themeColor="text1"/>
          <w:highlight w:val="white"/>
          <w:lang w:val="en-US"/>
        </w:rPr>
        <w:t xml:space="preserve">, </w:t>
      </w:r>
      <w:r w:rsidR="0025528B" w:rsidRPr="002B301F">
        <w:rPr>
          <w:color w:val="000000" w:themeColor="text1"/>
          <w:lang w:val="en-US"/>
        </w:rPr>
        <w:t>r</w:t>
      </w:r>
      <w:r w:rsidR="006432BA" w:rsidRPr="002B301F">
        <w:rPr>
          <w:color w:val="000000" w:themeColor="text1"/>
          <w:lang w:val="en-US"/>
        </w:rPr>
        <w:t xml:space="preserve">apports </w:t>
      </w:r>
      <w:proofErr w:type="spellStart"/>
      <w:r w:rsidR="006432BA" w:rsidRPr="002B301F">
        <w:rPr>
          <w:color w:val="000000" w:themeColor="text1"/>
          <w:lang w:val="en-US"/>
        </w:rPr>
        <w:t>nationaux</w:t>
      </w:r>
      <w:proofErr w:type="spellEnd"/>
      <w:r w:rsidR="0025528B" w:rsidRPr="002B301F">
        <w:rPr>
          <w:color w:val="000000" w:themeColor="text1"/>
          <w:lang w:val="en-US"/>
        </w:rPr>
        <w:t xml:space="preserve"> (</w:t>
      </w:r>
      <w:hyperlink r:id="rId12" w:history="1">
        <w:r w:rsidR="0025528B" w:rsidRPr="002B301F">
          <w:rPr>
            <w:rStyle w:val="Hyperlink"/>
            <w:rFonts w:eastAsia="Roboto"/>
            <w:highlight w:val="white"/>
            <w:lang w:val="en-US"/>
          </w:rPr>
          <w:t>https://hdl.handle.net/1814/71970</w:t>
        </w:r>
      </w:hyperlink>
      <w:r w:rsidR="0025528B" w:rsidRPr="002B301F">
        <w:rPr>
          <w:color w:val="000000" w:themeColor="text1"/>
          <w:highlight w:val="white"/>
          <w:lang w:val="en-US"/>
        </w:rPr>
        <w:t>)</w:t>
      </w:r>
      <w:r w:rsidR="006432BA" w:rsidRPr="002B301F">
        <w:rPr>
          <w:color w:val="000000" w:themeColor="text1"/>
          <w:highlight w:val="white"/>
          <w:lang w:val="en-US"/>
        </w:rPr>
        <w:t xml:space="preserve"> </w:t>
      </w:r>
      <w:proofErr w:type="spellStart"/>
      <w:r w:rsidR="0025528B" w:rsidRPr="002B301F">
        <w:rPr>
          <w:color w:val="000000" w:themeColor="text1"/>
          <w:lang w:val="en-US"/>
        </w:rPr>
        <w:t>r</w:t>
      </w:r>
      <w:r w:rsidR="006432BA" w:rsidRPr="002B301F">
        <w:rPr>
          <w:color w:val="000000" w:themeColor="text1"/>
          <w:lang w:val="en-US"/>
        </w:rPr>
        <w:t>écupéré</w:t>
      </w:r>
      <w:proofErr w:type="spellEnd"/>
      <w:r w:rsidR="006432BA" w:rsidRPr="002B301F">
        <w:rPr>
          <w:color w:val="000000" w:themeColor="text1"/>
          <w:lang w:val="en-US"/>
        </w:rPr>
        <w:t xml:space="preserve"> de Cadmus, EUI Research Repository.</w:t>
      </w:r>
    </w:p>
    <w:p w14:paraId="032EC4D9" w14:textId="55510756" w:rsidR="00BC2651" w:rsidRPr="002B301F" w:rsidRDefault="006432BA">
      <w:pPr>
        <w:numPr>
          <w:ilvl w:val="0"/>
          <w:numId w:val="4"/>
        </w:numPr>
        <w:spacing w:line="240" w:lineRule="auto"/>
        <w:jc w:val="both"/>
        <w:rPr>
          <w:color w:val="000000" w:themeColor="text1"/>
          <w:lang w:val="fr-FR"/>
        </w:rPr>
      </w:pPr>
      <w:r w:rsidRPr="002B301F">
        <w:rPr>
          <w:color w:val="000000" w:themeColor="text1"/>
          <w:lang w:val="fr-FR"/>
        </w:rPr>
        <w:t xml:space="preserve">Newman, N., Fletcher, R., </w:t>
      </w:r>
      <w:proofErr w:type="spellStart"/>
      <w:r w:rsidRPr="002B301F">
        <w:rPr>
          <w:color w:val="000000" w:themeColor="text1"/>
          <w:lang w:val="fr-FR"/>
        </w:rPr>
        <w:t>Kalogeropoulos</w:t>
      </w:r>
      <w:proofErr w:type="spellEnd"/>
      <w:r w:rsidRPr="002B301F">
        <w:rPr>
          <w:color w:val="000000" w:themeColor="text1"/>
          <w:lang w:val="fr-FR"/>
        </w:rPr>
        <w:t xml:space="preserve">, A., Levy, D. A., &amp; Nielsen, R. K. (2019). </w:t>
      </w:r>
      <w:r w:rsidR="0025528B" w:rsidRPr="002B301F">
        <w:rPr>
          <w:i/>
          <w:color w:val="000000" w:themeColor="text1"/>
          <w:lang w:val="fr-FR"/>
        </w:rPr>
        <w:t xml:space="preserve">Reuters </w:t>
      </w:r>
      <w:proofErr w:type="spellStart"/>
      <w:r w:rsidR="0025528B" w:rsidRPr="002B301F">
        <w:rPr>
          <w:i/>
          <w:color w:val="000000" w:themeColor="text1"/>
          <w:lang w:val="fr-FR"/>
        </w:rPr>
        <w:t>institute</w:t>
      </w:r>
      <w:proofErr w:type="spellEnd"/>
      <w:r w:rsidR="0025528B" w:rsidRPr="002B301F">
        <w:rPr>
          <w:i/>
          <w:color w:val="000000" w:themeColor="text1"/>
          <w:lang w:val="fr-FR"/>
        </w:rPr>
        <w:t xml:space="preserve"> digital news report</w:t>
      </w:r>
      <w:r w:rsidRPr="002B301F">
        <w:rPr>
          <w:i/>
          <w:color w:val="000000" w:themeColor="text1"/>
          <w:lang w:val="fr-FR"/>
        </w:rPr>
        <w:t xml:space="preserve"> 2019.</w:t>
      </w:r>
      <w:r w:rsidRPr="002B301F">
        <w:rPr>
          <w:color w:val="000000" w:themeColor="text1"/>
          <w:lang w:val="fr-FR"/>
        </w:rPr>
        <w:t xml:space="preserve"> </w:t>
      </w:r>
      <w:r w:rsidR="0025528B" w:rsidRPr="002B301F">
        <w:rPr>
          <w:color w:val="000000" w:themeColor="text1"/>
          <w:lang w:val="fr-FR"/>
        </w:rPr>
        <w:t xml:space="preserve">Reuters Institute for the </w:t>
      </w:r>
      <w:proofErr w:type="spellStart"/>
      <w:r w:rsidR="0025528B" w:rsidRPr="002B301F">
        <w:rPr>
          <w:color w:val="000000" w:themeColor="text1"/>
          <w:lang w:val="fr-FR"/>
        </w:rPr>
        <w:t>Study</w:t>
      </w:r>
      <w:proofErr w:type="spellEnd"/>
      <w:r w:rsidR="0025528B" w:rsidRPr="002B301F">
        <w:rPr>
          <w:color w:val="000000" w:themeColor="text1"/>
          <w:lang w:val="fr-FR"/>
        </w:rPr>
        <w:t xml:space="preserve"> of </w:t>
      </w:r>
      <w:proofErr w:type="spellStart"/>
      <w:r w:rsidR="0025528B" w:rsidRPr="002B301F">
        <w:rPr>
          <w:color w:val="000000" w:themeColor="text1"/>
          <w:lang w:val="fr-FR"/>
        </w:rPr>
        <w:t>Journalism</w:t>
      </w:r>
      <w:proofErr w:type="spellEnd"/>
      <w:r w:rsidR="0025528B" w:rsidRPr="002B301F">
        <w:rPr>
          <w:color w:val="000000" w:themeColor="text1"/>
          <w:lang w:val="fr-FR"/>
        </w:rPr>
        <w:t>.</w:t>
      </w:r>
    </w:p>
    <w:p w14:paraId="34426CC2" w14:textId="513D9164" w:rsidR="00BC2651" w:rsidRPr="002B301F" w:rsidRDefault="006432BA">
      <w:pPr>
        <w:numPr>
          <w:ilvl w:val="0"/>
          <w:numId w:val="6"/>
        </w:numPr>
        <w:spacing w:line="240" w:lineRule="auto"/>
        <w:jc w:val="both"/>
        <w:rPr>
          <w:color w:val="000000" w:themeColor="text1"/>
          <w:lang w:val="fr-FR"/>
        </w:rPr>
      </w:pPr>
      <w:r w:rsidRPr="002B301F">
        <w:rPr>
          <w:color w:val="000000" w:themeColor="text1"/>
          <w:lang w:val="fr-FR"/>
        </w:rPr>
        <w:t xml:space="preserve">Newman, N., Fletcher, R., Schulz, A., Andi, S., Robertson, C. T., &amp; Nielsen, R. K. (2021). </w:t>
      </w:r>
      <w:r w:rsidRPr="002B301F">
        <w:rPr>
          <w:i/>
          <w:color w:val="000000" w:themeColor="text1"/>
          <w:lang w:val="fr-FR"/>
        </w:rPr>
        <w:t xml:space="preserve">Reuters </w:t>
      </w:r>
      <w:proofErr w:type="spellStart"/>
      <w:r w:rsidRPr="002B301F">
        <w:rPr>
          <w:i/>
          <w:color w:val="000000" w:themeColor="text1"/>
          <w:lang w:val="fr-FR"/>
        </w:rPr>
        <w:t>institute</w:t>
      </w:r>
      <w:proofErr w:type="spellEnd"/>
      <w:r w:rsidRPr="002B301F">
        <w:rPr>
          <w:i/>
          <w:color w:val="000000" w:themeColor="text1"/>
          <w:lang w:val="fr-FR"/>
        </w:rPr>
        <w:t xml:space="preserve"> digital news report 2021. Dixième édition.</w:t>
      </w:r>
      <w:r w:rsidRPr="002B301F">
        <w:rPr>
          <w:color w:val="000000" w:themeColor="text1"/>
          <w:lang w:val="fr-FR"/>
        </w:rPr>
        <w:t xml:space="preserve"> </w:t>
      </w:r>
      <w:r w:rsidR="0025528B" w:rsidRPr="002B301F">
        <w:rPr>
          <w:color w:val="000000" w:themeColor="text1"/>
          <w:lang w:val="fr-FR"/>
        </w:rPr>
        <w:t xml:space="preserve">Reuters Institute for the </w:t>
      </w:r>
      <w:proofErr w:type="spellStart"/>
      <w:r w:rsidR="0025528B" w:rsidRPr="002B301F">
        <w:rPr>
          <w:color w:val="000000" w:themeColor="text1"/>
          <w:lang w:val="fr-FR"/>
        </w:rPr>
        <w:t>Study</w:t>
      </w:r>
      <w:proofErr w:type="spellEnd"/>
      <w:r w:rsidR="0025528B" w:rsidRPr="002B301F">
        <w:rPr>
          <w:color w:val="000000" w:themeColor="text1"/>
          <w:lang w:val="fr-FR"/>
        </w:rPr>
        <w:t xml:space="preserve"> of </w:t>
      </w:r>
      <w:proofErr w:type="spellStart"/>
      <w:r w:rsidR="0025528B" w:rsidRPr="002B301F">
        <w:rPr>
          <w:color w:val="000000" w:themeColor="text1"/>
          <w:lang w:val="fr-FR"/>
        </w:rPr>
        <w:t>Journalism</w:t>
      </w:r>
      <w:proofErr w:type="spellEnd"/>
      <w:r w:rsidRPr="002B301F">
        <w:rPr>
          <w:color w:val="000000" w:themeColor="text1"/>
          <w:lang w:val="fr-FR"/>
        </w:rPr>
        <w:t>.</w:t>
      </w:r>
    </w:p>
    <w:p w14:paraId="73532398" w14:textId="77777777" w:rsidR="007A283A" w:rsidRPr="002B301F" w:rsidRDefault="007A283A" w:rsidP="007A283A">
      <w:pPr>
        <w:spacing w:line="240" w:lineRule="auto"/>
        <w:rPr>
          <w:color w:val="000000" w:themeColor="text1"/>
          <w:lang w:val="fr-FR"/>
        </w:rPr>
      </w:pPr>
    </w:p>
    <w:p w14:paraId="57897C3F" w14:textId="77777777" w:rsidR="005508C9" w:rsidRPr="002B301F" w:rsidRDefault="00F35868" w:rsidP="00844320">
      <w:pPr>
        <w:spacing w:line="240" w:lineRule="auto"/>
        <w:ind w:left="720"/>
        <w:jc w:val="both"/>
        <w:rPr>
          <w:color w:val="000000" w:themeColor="text1"/>
          <w:lang w:val="fr-FR"/>
        </w:rPr>
      </w:pPr>
    </w:p>
    <w:sectPr w:rsidR="005508C9" w:rsidRPr="002B301F" w:rsidSect="00844320">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A655" w14:textId="77777777" w:rsidR="00F35868" w:rsidRDefault="00F35868" w:rsidP="007A7CEC">
      <w:pPr>
        <w:spacing w:line="240" w:lineRule="auto"/>
      </w:pPr>
      <w:r>
        <w:separator/>
      </w:r>
    </w:p>
  </w:endnote>
  <w:endnote w:type="continuationSeparator" w:id="0">
    <w:p w14:paraId="482223B6" w14:textId="77777777" w:rsidR="00F35868" w:rsidRDefault="00F35868" w:rsidP="007A7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976564"/>
      <w:docPartObj>
        <w:docPartGallery w:val="Page Numbers (Bottom of Page)"/>
        <w:docPartUnique/>
      </w:docPartObj>
    </w:sdtPr>
    <w:sdtEndPr>
      <w:rPr>
        <w:rStyle w:val="PageNumber"/>
      </w:rPr>
    </w:sdtEndPr>
    <w:sdtContent>
      <w:p w14:paraId="0E5AD41E" w14:textId="77777777" w:rsidR="00BC2651" w:rsidRDefault="006432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8832B4" w14:textId="77777777" w:rsidR="00454A48" w:rsidRDefault="0045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618227"/>
      <w:docPartObj>
        <w:docPartGallery w:val="Page Numbers (Bottom of Page)"/>
        <w:docPartUnique/>
      </w:docPartObj>
    </w:sdtPr>
    <w:sdtEndPr>
      <w:rPr>
        <w:rStyle w:val="PageNumber"/>
      </w:rPr>
    </w:sdtEndPr>
    <w:sdtContent>
      <w:p w14:paraId="1C11D99C" w14:textId="77777777" w:rsidR="00BC2651" w:rsidRDefault="006432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D5F189" w14:textId="77777777" w:rsidR="00454A48" w:rsidRDefault="0045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90E1" w14:textId="77777777" w:rsidR="00F35868" w:rsidRDefault="00F35868" w:rsidP="007A7CEC">
      <w:pPr>
        <w:spacing w:line="240" w:lineRule="auto"/>
      </w:pPr>
      <w:r>
        <w:separator/>
      </w:r>
    </w:p>
  </w:footnote>
  <w:footnote w:type="continuationSeparator" w:id="0">
    <w:p w14:paraId="578FFAA0" w14:textId="77777777" w:rsidR="00F35868" w:rsidRDefault="00F35868" w:rsidP="007A7CEC">
      <w:pPr>
        <w:spacing w:line="240" w:lineRule="auto"/>
      </w:pPr>
      <w:r>
        <w:continuationSeparator/>
      </w:r>
    </w:p>
  </w:footnote>
  <w:footnote w:id="1">
    <w:p w14:paraId="587F4BA0" w14:textId="77777777" w:rsidR="00BC2651" w:rsidRPr="006432BA" w:rsidRDefault="006432BA">
      <w:pPr>
        <w:spacing w:line="240" w:lineRule="auto"/>
        <w:rPr>
          <w:sz w:val="20"/>
          <w:lang w:val="fr-CA"/>
        </w:rPr>
      </w:pPr>
      <w:r w:rsidRPr="004639C1">
        <w:rPr>
          <w:vertAlign w:val="superscript"/>
        </w:rPr>
        <w:footnoteRef/>
      </w:r>
      <w:r w:rsidRPr="006432BA">
        <w:rPr>
          <w:sz w:val="20"/>
          <w:lang w:val="fr-CA"/>
        </w:rPr>
        <w:t xml:space="preserve"> Ce schéma est principalement basé sur l'étude sur la pluralité et la diversité des médias en ligne, CMPF/EUI et al, à paraître en juillet 2022 (financée par la Commission européenne).</w:t>
      </w:r>
    </w:p>
  </w:footnote>
  <w:footnote w:id="2">
    <w:p w14:paraId="2685265F" w14:textId="77777777" w:rsidR="00BC2651" w:rsidRDefault="006432BA">
      <w:pPr>
        <w:spacing w:line="240" w:lineRule="auto"/>
        <w:rPr>
          <w:sz w:val="20"/>
        </w:rPr>
      </w:pPr>
      <w:r w:rsidRPr="004639C1">
        <w:rPr>
          <w:vertAlign w:val="superscript"/>
        </w:rPr>
        <w:footnoteRef/>
      </w:r>
      <w:r w:rsidRPr="004639C1">
        <w:rPr>
          <w:sz w:val="20"/>
        </w:rPr>
        <w:t xml:space="preserve"> https://www.ilpost.it/2022/05/06/conti-post-2021/#:~:text=Ci%20eravamo%20lasciati%20un%20anno,un%20attivo%20di%20659mila%20euro.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EB" w14:textId="77777777" w:rsidR="00844320" w:rsidRDefault="00844320" w:rsidP="00844320">
    <w:pPr>
      <w:pStyle w:val="Header"/>
      <w:tabs>
        <w:tab w:val="left" w:pos="573"/>
      </w:tabs>
    </w:pPr>
    <w:r w:rsidRPr="003D34F8">
      <w:rPr>
        <w:noProof/>
      </w:rPr>
      <w:ptab w:relativeTo="margin" w:alignment="center" w:leader="none"/>
    </w:r>
    <w:r w:rsidRPr="003D34F8">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FD9E" w14:textId="77777777" w:rsidR="00BC2651" w:rsidRDefault="006432BA">
    <w:pPr>
      <w:pStyle w:val="Header"/>
      <w:tabs>
        <w:tab w:val="left" w:pos="573"/>
      </w:tabs>
    </w:pPr>
    <w:r>
      <w:rPr>
        <w:i/>
        <w:iCs/>
        <w:sz w:val="20"/>
        <w:szCs w:val="20"/>
      </w:rPr>
      <w:t>Comité d'experts sur le renforcement de la résilience des médias (MSI-RES)</w:t>
    </w:r>
    <w:r w:rsidRPr="003D34F8">
      <w:rPr>
        <w:noProof/>
      </w:rPr>
      <w:ptab w:relativeTo="margin" w:alignment="center" w:leader="none"/>
    </w:r>
    <w:r w:rsidRPr="003D34F8">
      <w:rPr>
        <w:noProof/>
      </w:rPr>
      <w:ptab w:relativeTo="margin" w:alignment="right" w:leader="none"/>
    </w:r>
    <w:r>
      <w:rPr>
        <w:noProof/>
        <w:lang w:val="en-US" w:eastAsia="en-US"/>
      </w:rPr>
      <w:drawing>
        <wp:inline distT="0" distB="0" distL="0" distR="0" wp14:anchorId="710D0500" wp14:editId="1B85BD33">
          <wp:extent cx="1460500" cy="1287145"/>
          <wp:effectExtent l="0" t="0" r="6350" b="8255"/>
          <wp:docPr id="4" name="Picture 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28714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0F"/>
    <w:multiLevelType w:val="multilevel"/>
    <w:tmpl w:val="3B9AE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857A5"/>
    <w:multiLevelType w:val="multilevel"/>
    <w:tmpl w:val="1CE60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CB0E55"/>
    <w:multiLevelType w:val="multilevel"/>
    <w:tmpl w:val="13003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4C58FB"/>
    <w:multiLevelType w:val="multilevel"/>
    <w:tmpl w:val="C1EE8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0C0A55"/>
    <w:multiLevelType w:val="multilevel"/>
    <w:tmpl w:val="46024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2E19F6"/>
    <w:multiLevelType w:val="hybridMultilevel"/>
    <w:tmpl w:val="4184D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D53657"/>
    <w:multiLevelType w:val="multilevel"/>
    <w:tmpl w:val="C8A87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8519387">
    <w:abstractNumId w:val="6"/>
  </w:num>
  <w:num w:numId="2" w16cid:durableId="1346983412">
    <w:abstractNumId w:val="5"/>
  </w:num>
  <w:num w:numId="3" w16cid:durableId="306668594">
    <w:abstractNumId w:val="1"/>
  </w:num>
  <w:num w:numId="4" w16cid:durableId="427428534">
    <w:abstractNumId w:val="3"/>
  </w:num>
  <w:num w:numId="5" w16cid:durableId="634019517">
    <w:abstractNumId w:val="2"/>
  </w:num>
  <w:num w:numId="6" w16cid:durableId="2024083765">
    <w:abstractNumId w:val="0"/>
  </w:num>
  <w:num w:numId="7" w16cid:durableId="874535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9A"/>
    <w:rsid w:val="00003262"/>
    <w:rsid w:val="00137A99"/>
    <w:rsid w:val="0017026A"/>
    <w:rsid w:val="00171CF9"/>
    <w:rsid w:val="001B28BA"/>
    <w:rsid w:val="001E20DC"/>
    <w:rsid w:val="0021284C"/>
    <w:rsid w:val="00234778"/>
    <w:rsid w:val="002519C0"/>
    <w:rsid w:val="0025528B"/>
    <w:rsid w:val="002B301F"/>
    <w:rsid w:val="002D5D52"/>
    <w:rsid w:val="00317047"/>
    <w:rsid w:val="003C271D"/>
    <w:rsid w:val="0043169B"/>
    <w:rsid w:val="00452FFC"/>
    <w:rsid w:val="00454A48"/>
    <w:rsid w:val="004707B6"/>
    <w:rsid w:val="00472225"/>
    <w:rsid w:val="0047222C"/>
    <w:rsid w:val="004B356B"/>
    <w:rsid w:val="00597A21"/>
    <w:rsid w:val="005E25BB"/>
    <w:rsid w:val="00602A7D"/>
    <w:rsid w:val="0060654D"/>
    <w:rsid w:val="00627579"/>
    <w:rsid w:val="006432BA"/>
    <w:rsid w:val="006A1B24"/>
    <w:rsid w:val="006B672D"/>
    <w:rsid w:val="00795710"/>
    <w:rsid w:val="007A283A"/>
    <w:rsid w:val="007A7CEC"/>
    <w:rsid w:val="007C6244"/>
    <w:rsid w:val="00805C64"/>
    <w:rsid w:val="008239B5"/>
    <w:rsid w:val="00844320"/>
    <w:rsid w:val="009027FB"/>
    <w:rsid w:val="009C3EE5"/>
    <w:rsid w:val="00A949AA"/>
    <w:rsid w:val="00AE7B69"/>
    <w:rsid w:val="00B67C0D"/>
    <w:rsid w:val="00B74C91"/>
    <w:rsid w:val="00BC2651"/>
    <w:rsid w:val="00BF51D6"/>
    <w:rsid w:val="00C94CB5"/>
    <w:rsid w:val="00CB0117"/>
    <w:rsid w:val="00CE219A"/>
    <w:rsid w:val="00D01121"/>
    <w:rsid w:val="00D05BB0"/>
    <w:rsid w:val="00D1701A"/>
    <w:rsid w:val="00DB5387"/>
    <w:rsid w:val="00F20E1E"/>
    <w:rsid w:val="00F35868"/>
    <w:rsid w:val="00FE104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B6F2"/>
  <w15:chartTrackingRefBased/>
  <w15:docId w15:val="{7FEF5C05-FB0C-4842-9F34-37153DC6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9A"/>
    <w:pPr>
      <w:spacing w:line="276" w:lineRule="auto"/>
    </w:pPr>
    <w:rPr>
      <w:rFonts w:ascii="Arial" w:eastAsia="Arial" w:hAnsi="Arial" w:cs="Arial"/>
      <w:sz w:val="22"/>
      <w:szCs w:val="22"/>
      <w:lang w:val="it"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19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character" w:customStyle="1" w:styleId="None">
    <w:name w:val="None"/>
    <w:rsid w:val="00CE219A"/>
  </w:style>
  <w:style w:type="paragraph" w:styleId="CommentText">
    <w:name w:val="annotation text"/>
    <w:basedOn w:val="Normal"/>
    <w:link w:val="CommentTextChar"/>
    <w:uiPriority w:val="99"/>
    <w:unhideWhenUsed/>
    <w:rsid w:val="00CE219A"/>
    <w:pPr>
      <w:spacing w:line="240" w:lineRule="auto"/>
    </w:pPr>
    <w:rPr>
      <w:sz w:val="20"/>
      <w:szCs w:val="20"/>
    </w:rPr>
  </w:style>
  <w:style w:type="character" w:customStyle="1" w:styleId="CommentTextChar">
    <w:name w:val="Comment Text Char"/>
    <w:basedOn w:val="DefaultParagraphFont"/>
    <w:link w:val="CommentText"/>
    <w:uiPriority w:val="99"/>
    <w:rsid w:val="00CE219A"/>
    <w:rPr>
      <w:rFonts w:ascii="Arial" w:eastAsia="Arial" w:hAnsi="Arial" w:cs="Arial"/>
      <w:sz w:val="20"/>
      <w:szCs w:val="20"/>
      <w:lang w:val="it" w:eastAsia="en-GB"/>
    </w:rPr>
  </w:style>
  <w:style w:type="character" w:styleId="CommentReference">
    <w:name w:val="annotation reference"/>
    <w:basedOn w:val="DefaultParagraphFont"/>
    <w:uiPriority w:val="99"/>
    <w:semiHidden/>
    <w:unhideWhenUsed/>
    <w:rsid w:val="00CE219A"/>
    <w:rPr>
      <w:sz w:val="16"/>
      <w:szCs w:val="16"/>
    </w:rPr>
  </w:style>
  <w:style w:type="paragraph" w:styleId="ListParagraph">
    <w:name w:val="List Paragraph"/>
    <w:basedOn w:val="Normal"/>
    <w:uiPriority w:val="34"/>
    <w:qFormat/>
    <w:rsid w:val="00CE219A"/>
    <w:pPr>
      <w:ind w:left="720"/>
      <w:contextualSpacing/>
    </w:pPr>
  </w:style>
  <w:style w:type="paragraph" w:styleId="Revision">
    <w:name w:val="Revision"/>
    <w:hidden/>
    <w:uiPriority w:val="99"/>
    <w:semiHidden/>
    <w:rsid w:val="00805C64"/>
    <w:rPr>
      <w:rFonts w:ascii="Arial" w:eastAsia="Arial" w:hAnsi="Arial" w:cs="Arial"/>
      <w:sz w:val="22"/>
      <w:szCs w:val="22"/>
      <w:lang w:val="it" w:eastAsia="en-GB"/>
    </w:rPr>
  </w:style>
  <w:style w:type="paragraph" w:styleId="FootnoteText">
    <w:name w:val="footnote text"/>
    <w:basedOn w:val="Normal"/>
    <w:link w:val="FootnoteTextChar"/>
    <w:uiPriority w:val="99"/>
    <w:semiHidden/>
    <w:unhideWhenUsed/>
    <w:rsid w:val="007A7CEC"/>
    <w:pPr>
      <w:spacing w:line="240" w:lineRule="auto"/>
    </w:pPr>
    <w:rPr>
      <w:sz w:val="20"/>
      <w:szCs w:val="20"/>
    </w:rPr>
  </w:style>
  <w:style w:type="character" w:customStyle="1" w:styleId="FootnoteTextChar">
    <w:name w:val="Footnote Text Char"/>
    <w:basedOn w:val="DefaultParagraphFont"/>
    <w:link w:val="FootnoteText"/>
    <w:uiPriority w:val="99"/>
    <w:semiHidden/>
    <w:rsid w:val="007A7CEC"/>
    <w:rPr>
      <w:rFonts w:ascii="Arial" w:eastAsia="Arial" w:hAnsi="Arial" w:cs="Arial"/>
      <w:sz w:val="20"/>
      <w:szCs w:val="20"/>
      <w:lang w:val="it" w:eastAsia="en-GB"/>
    </w:rPr>
  </w:style>
  <w:style w:type="character" w:styleId="FootnoteReference">
    <w:name w:val="footnote reference"/>
    <w:basedOn w:val="DefaultParagraphFont"/>
    <w:uiPriority w:val="99"/>
    <w:semiHidden/>
    <w:unhideWhenUsed/>
    <w:rsid w:val="007A7CEC"/>
    <w:rPr>
      <w:vertAlign w:val="superscript"/>
    </w:rPr>
  </w:style>
  <w:style w:type="paragraph" w:styleId="Header">
    <w:name w:val="header"/>
    <w:basedOn w:val="Normal"/>
    <w:link w:val="HeaderChar"/>
    <w:uiPriority w:val="99"/>
    <w:unhideWhenUsed/>
    <w:rsid w:val="00844320"/>
    <w:pPr>
      <w:tabs>
        <w:tab w:val="center" w:pos="4513"/>
        <w:tab w:val="right" w:pos="9026"/>
      </w:tabs>
      <w:spacing w:line="240" w:lineRule="auto"/>
    </w:pPr>
  </w:style>
  <w:style w:type="character" w:customStyle="1" w:styleId="HeaderChar">
    <w:name w:val="Header Char"/>
    <w:basedOn w:val="DefaultParagraphFont"/>
    <w:link w:val="Header"/>
    <w:uiPriority w:val="99"/>
    <w:rsid w:val="00844320"/>
    <w:rPr>
      <w:rFonts w:ascii="Arial" w:eastAsia="Arial" w:hAnsi="Arial" w:cs="Arial"/>
      <w:sz w:val="22"/>
      <w:szCs w:val="22"/>
      <w:lang w:val="it" w:eastAsia="en-GB"/>
    </w:rPr>
  </w:style>
  <w:style w:type="paragraph" w:styleId="Footer">
    <w:name w:val="footer"/>
    <w:basedOn w:val="Normal"/>
    <w:link w:val="FooterChar"/>
    <w:uiPriority w:val="99"/>
    <w:unhideWhenUsed/>
    <w:rsid w:val="00844320"/>
    <w:pPr>
      <w:tabs>
        <w:tab w:val="center" w:pos="4513"/>
        <w:tab w:val="right" w:pos="9026"/>
      </w:tabs>
      <w:spacing w:line="240" w:lineRule="auto"/>
    </w:pPr>
  </w:style>
  <w:style w:type="character" w:customStyle="1" w:styleId="FooterChar">
    <w:name w:val="Footer Char"/>
    <w:basedOn w:val="DefaultParagraphFont"/>
    <w:link w:val="Footer"/>
    <w:uiPriority w:val="99"/>
    <w:rsid w:val="00844320"/>
    <w:rPr>
      <w:rFonts w:ascii="Arial" w:eastAsia="Arial" w:hAnsi="Arial" w:cs="Arial"/>
      <w:sz w:val="22"/>
      <w:szCs w:val="22"/>
      <w:lang w:val="it" w:eastAsia="en-GB"/>
    </w:rPr>
  </w:style>
  <w:style w:type="character" w:styleId="PageNumber">
    <w:name w:val="page number"/>
    <w:basedOn w:val="DefaultParagraphFont"/>
    <w:uiPriority w:val="99"/>
    <w:semiHidden/>
    <w:unhideWhenUsed/>
    <w:rsid w:val="00454A48"/>
  </w:style>
  <w:style w:type="paragraph" w:styleId="CommentSubject">
    <w:name w:val="annotation subject"/>
    <w:basedOn w:val="CommentText"/>
    <w:next w:val="CommentText"/>
    <w:link w:val="CommentSubjectChar"/>
    <w:uiPriority w:val="99"/>
    <w:semiHidden/>
    <w:unhideWhenUsed/>
    <w:rsid w:val="00DB5387"/>
    <w:rPr>
      <w:b/>
      <w:bCs/>
    </w:rPr>
  </w:style>
  <w:style w:type="character" w:customStyle="1" w:styleId="CommentSubjectChar">
    <w:name w:val="Comment Subject Char"/>
    <w:basedOn w:val="CommentTextChar"/>
    <w:link w:val="CommentSubject"/>
    <w:uiPriority w:val="99"/>
    <w:semiHidden/>
    <w:rsid w:val="00DB5387"/>
    <w:rPr>
      <w:rFonts w:ascii="Arial" w:eastAsia="Arial" w:hAnsi="Arial" w:cs="Arial"/>
      <w:b/>
      <w:bCs/>
      <w:sz w:val="20"/>
      <w:szCs w:val="20"/>
      <w:lang w:val="it" w:eastAsia="en-GB"/>
    </w:rPr>
  </w:style>
  <w:style w:type="paragraph" w:styleId="NormalWeb">
    <w:name w:val="Normal (Web)"/>
    <w:basedOn w:val="Normal"/>
    <w:uiPriority w:val="99"/>
    <w:semiHidden/>
    <w:unhideWhenUsed/>
    <w:rsid w:val="00823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28B"/>
    <w:rPr>
      <w:color w:val="0563C1" w:themeColor="hyperlink"/>
      <w:u w:val="single"/>
    </w:rPr>
  </w:style>
  <w:style w:type="character" w:styleId="UnresolvedMention">
    <w:name w:val="Unresolved Mention"/>
    <w:basedOn w:val="DefaultParagraphFont"/>
    <w:uiPriority w:val="99"/>
    <w:semiHidden/>
    <w:unhideWhenUsed/>
    <w:rsid w:val="0025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3116">
      <w:bodyDiv w:val="1"/>
      <w:marLeft w:val="0"/>
      <w:marRight w:val="0"/>
      <w:marTop w:val="0"/>
      <w:marBottom w:val="0"/>
      <w:divBdr>
        <w:top w:val="none" w:sz="0" w:space="0" w:color="auto"/>
        <w:left w:val="none" w:sz="0" w:space="0" w:color="auto"/>
        <w:bottom w:val="none" w:sz="0" w:space="0" w:color="auto"/>
        <w:right w:val="none" w:sz="0" w:space="0" w:color="auto"/>
      </w:divBdr>
    </w:div>
    <w:div w:id="543905260">
      <w:bodyDiv w:val="1"/>
      <w:marLeft w:val="0"/>
      <w:marRight w:val="0"/>
      <w:marTop w:val="0"/>
      <w:marBottom w:val="0"/>
      <w:divBdr>
        <w:top w:val="none" w:sz="0" w:space="0" w:color="auto"/>
        <w:left w:val="none" w:sz="0" w:space="0" w:color="auto"/>
        <w:bottom w:val="none" w:sz="0" w:space="0" w:color="auto"/>
        <w:right w:val="none" w:sz="0" w:space="0" w:color="auto"/>
      </w:divBdr>
    </w:div>
    <w:div w:id="600995149">
      <w:bodyDiv w:val="1"/>
      <w:marLeft w:val="0"/>
      <w:marRight w:val="0"/>
      <w:marTop w:val="0"/>
      <w:marBottom w:val="0"/>
      <w:divBdr>
        <w:top w:val="none" w:sz="0" w:space="0" w:color="auto"/>
        <w:left w:val="none" w:sz="0" w:space="0" w:color="auto"/>
        <w:bottom w:val="none" w:sz="0" w:space="0" w:color="auto"/>
        <w:right w:val="none" w:sz="0" w:space="0" w:color="auto"/>
      </w:divBdr>
    </w:div>
    <w:div w:id="14907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dl.handle.net/1814/719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it.vub.ac.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vir.nl/" TargetMode="External"/><Relationship Id="rId4" Type="http://schemas.openxmlformats.org/officeDocument/2006/relationships/settings" Target="settings.xml"/><Relationship Id="rId9" Type="http://schemas.openxmlformats.org/officeDocument/2006/relationships/hyperlink" Target="https://www.law.kuleuven.be/citip/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6DEB-F43A-9E48-8D86-91F1F91D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2010</Words>
  <Characters>11383</Characters>
  <Application>Microsoft Office Word</Application>
  <DocSecurity>0</DocSecurity>
  <Lines>186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 Umek</dc:creator>
  <cp:keywords>, docId:1D4501CDB24D0056126CA20576331A15</cp:keywords>
  <dc:description/>
  <cp:lastModifiedBy>Urska Umek</cp:lastModifiedBy>
  <cp:revision>6</cp:revision>
  <dcterms:created xsi:type="dcterms:W3CDTF">2022-06-17T14:14:00Z</dcterms:created>
  <dcterms:modified xsi:type="dcterms:W3CDTF">2022-06-17T14:59:00Z</dcterms:modified>
</cp:coreProperties>
</file>